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72"/>
          <w:szCs w:val="72"/>
        </w:rPr>
      </w:pPr>
      <w:bookmarkStart w:id="0" w:name="_Toc15396475"/>
      <w:bookmarkStart w:id="1" w:name="_Toc15396597"/>
      <w:bookmarkStart w:id="2" w:name="_Toc15378441"/>
      <w:bookmarkStart w:id="3" w:name="_Toc15377425"/>
      <w:bookmarkStart w:id="4" w:name="_Toc15377193"/>
      <w:bookmarkStart w:id="5" w:name="_Toc15306267"/>
    </w:p>
    <w:p>
      <w:pPr>
        <w:spacing w:line="600" w:lineRule="exact"/>
        <w:jc w:val="center"/>
        <w:rPr>
          <w:rFonts w:eastAsia="方正小标宋简体"/>
          <w:sz w:val="72"/>
          <w:szCs w:val="72"/>
        </w:rPr>
      </w:pPr>
    </w:p>
    <w:p>
      <w:pPr>
        <w:spacing w:line="600" w:lineRule="exact"/>
        <w:jc w:val="center"/>
        <w:rPr>
          <w:rFonts w:eastAsia="方正小标宋简体"/>
          <w:sz w:val="72"/>
          <w:szCs w:val="72"/>
        </w:rPr>
      </w:pPr>
    </w:p>
    <w:p>
      <w:pPr>
        <w:adjustRightInd w:val="0"/>
        <w:snapToGrid w:val="0"/>
        <w:spacing w:line="360" w:lineRule="auto"/>
        <w:jc w:val="center"/>
        <w:rPr>
          <w:rFonts w:eastAsia="方正小标宋简体"/>
          <w:sz w:val="72"/>
          <w:szCs w:val="72"/>
        </w:rPr>
      </w:pPr>
      <w:bookmarkStart w:id="6" w:name="_Toc24636"/>
      <w:r>
        <w:rPr>
          <w:rFonts w:eastAsia="方正小标宋简体"/>
          <w:sz w:val="72"/>
          <w:szCs w:val="72"/>
        </w:rPr>
        <w:t>2022年度</w:t>
      </w:r>
      <w:bookmarkEnd w:id="0"/>
      <w:bookmarkEnd w:id="1"/>
      <w:bookmarkEnd w:id="2"/>
      <w:bookmarkEnd w:id="3"/>
      <w:bookmarkEnd w:id="4"/>
      <w:bookmarkEnd w:id="6"/>
    </w:p>
    <w:p>
      <w:pPr>
        <w:adjustRightInd w:val="0"/>
        <w:snapToGrid w:val="0"/>
        <w:spacing w:line="360" w:lineRule="auto"/>
        <w:jc w:val="center"/>
        <w:rPr>
          <w:rFonts w:eastAsia="方正小标宋简体"/>
          <w:sz w:val="72"/>
          <w:szCs w:val="72"/>
        </w:rPr>
      </w:pPr>
      <w:bookmarkStart w:id="7" w:name="_Toc15377194"/>
      <w:bookmarkStart w:id="8" w:name="_Toc15378442"/>
      <w:bookmarkStart w:id="9" w:name="_Toc15396598"/>
      <w:bookmarkStart w:id="10" w:name="_Toc1710"/>
      <w:bookmarkStart w:id="11" w:name="_Toc15396476"/>
      <w:bookmarkStart w:id="12" w:name="_Toc15377426"/>
      <w:r>
        <w:rPr>
          <w:rFonts w:eastAsia="方正小标宋简体"/>
          <w:sz w:val="72"/>
          <w:szCs w:val="72"/>
        </w:rPr>
        <w:t>巴中市</w:t>
      </w:r>
      <w:bookmarkEnd w:id="5"/>
      <w:bookmarkStart w:id="13" w:name="_Toc15306268"/>
      <w:r>
        <w:rPr>
          <w:rFonts w:eastAsia="方正小标宋简体"/>
          <w:b/>
          <w:bCs/>
          <w:sz w:val="72"/>
          <w:szCs w:val="72"/>
        </w:rPr>
        <w:t>国道管理所</w:t>
      </w:r>
    </w:p>
    <w:p>
      <w:pPr>
        <w:adjustRightInd w:val="0"/>
        <w:snapToGrid w:val="0"/>
        <w:spacing w:line="360" w:lineRule="auto"/>
        <w:jc w:val="center"/>
        <w:rPr>
          <w:rFonts w:eastAsia="方正小标宋简体"/>
          <w:sz w:val="72"/>
          <w:szCs w:val="72"/>
        </w:rPr>
      </w:pPr>
      <w:r>
        <w:rPr>
          <w:rFonts w:eastAsia="方正小标宋简体"/>
          <w:b/>
          <w:bCs/>
          <w:sz w:val="72"/>
          <w:szCs w:val="72"/>
        </w:rPr>
        <w:t>单位决算</w:t>
      </w:r>
      <w:bookmarkEnd w:id="7"/>
      <w:bookmarkEnd w:id="8"/>
      <w:bookmarkEnd w:id="9"/>
      <w:bookmarkEnd w:id="10"/>
      <w:bookmarkEnd w:id="11"/>
      <w:bookmarkEnd w:id="12"/>
      <w:bookmarkEnd w:id="13"/>
    </w:p>
    <w:p>
      <w:pPr>
        <w:adjustRightInd w:val="0"/>
        <w:snapToGrid w:val="0"/>
        <w:spacing w:line="360" w:lineRule="auto"/>
        <w:jc w:val="center"/>
        <w:rPr>
          <w:rFonts w:eastAsia="方正小标宋简体"/>
          <w:sz w:val="52"/>
          <w:szCs w:val="52"/>
        </w:rPr>
      </w:pPr>
    </w:p>
    <w:p>
      <w:pPr>
        <w:widowControl/>
        <w:jc w:val="center"/>
        <w:rPr>
          <w:rFonts w:eastAsia="黑体"/>
          <w:sz w:val="28"/>
          <w:szCs w:val="28"/>
        </w:rPr>
      </w:pPr>
      <w:r>
        <w:rPr>
          <w:rFonts w:eastAsia="方正小标宋简体"/>
          <w:sz w:val="36"/>
          <w:szCs w:val="36"/>
        </w:rPr>
        <w:br w:type="page"/>
      </w:r>
      <w:r>
        <w:rPr>
          <w:rFonts w:eastAsia="黑体"/>
          <w:sz w:val="48"/>
          <w:szCs w:val="48"/>
        </w:rPr>
        <w:t>目录</w:t>
      </w:r>
    </w:p>
    <w:p>
      <w:pPr>
        <w:pStyle w:val="12"/>
        <w:rPr>
          <w:rFonts w:ascii="Times New Roman" w:hAnsi="Times New Roman"/>
        </w:rPr>
      </w:pPr>
      <w:r>
        <w:rPr>
          <w:rFonts w:ascii="Times New Roman" w:hAnsi="Times New Roman"/>
        </w:rPr>
        <w:t>公开时间：2023年10月13日</w:t>
      </w:r>
    </w:p>
    <w:p/>
    <w:sdt>
      <w:sdtPr>
        <w:rPr>
          <w:sz w:val="24"/>
        </w:rPr>
        <w:id w:val="147460794"/>
        <w:docPartObj>
          <w:docPartGallery w:val="Table of Contents"/>
          <w:docPartUnique/>
        </w:docPartObj>
      </w:sdtPr>
      <w:sdtEndPr>
        <w:rPr>
          <w:b/>
          <w:sz w:val="21"/>
        </w:rPr>
      </w:sdtEndPr>
      <w:sdtContent>
        <w:p>
          <w:pPr>
            <w:rPr>
              <w:b/>
              <w:sz w:val="24"/>
            </w:rPr>
          </w:pPr>
          <w:bookmarkStart w:id="14" w:name="_Toc15396599"/>
          <w:bookmarkStart w:id="15" w:name="_Toc15377196"/>
          <w:r>
            <w:rPr>
              <w:sz w:val="24"/>
            </w:rPr>
            <w:fldChar w:fldCharType="begin"/>
          </w:r>
          <w:r>
            <w:rPr>
              <w:sz w:val="24"/>
            </w:rPr>
            <w:instrText xml:space="preserve">TOC \o "1-2" \h \u </w:instrText>
          </w:r>
          <w:r>
            <w:rPr>
              <w:sz w:val="24"/>
            </w:rPr>
            <w:fldChar w:fldCharType="separate"/>
          </w:r>
        </w:p>
        <w:p>
          <w:pPr>
            <w:pStyle w:val="12"/>
            <w:tabs>
              <w:tab w:val="right" w:leader="dot" w:pos="8306"/>
              <w:tab w:val="clear" w:pos="8296"/>
            </w:tabs>
            <w:rPr>
              <w:rFonts w:ascii="Times New Roman" w:hAnsi="Times New Roman" w:eastAsia="方正仿宋简体"/>
            </w:rPr>
          </w:pPr>
          <w:r>
            <w:fldChar w:fldCharType="begin"/>
          </w:r>
          <w:r>
            <w:instrText xml:space="preserve"> HYPERLINK \l "_Toc17214" </w:instrText>
          </w:r>
          <w:r>
            <w:fldChar w:fldCharType="separate"/>
          </w:r>
          <w:r>
            <w:rPr>
              <w:rFonts w:ascii="Times New Roman" w:hAnsi="Times New Roman" w:eastAsia="方正仿宋简体"/>
              <w:b/>
              <w:bCs/>
            </w:rPr>
            <w:t>第一部分 部门概况</w:t>
          </w:r>
          <w:r>
            <w:rPr>
              <w:rFonts w:ascii="Times New Roman" w:hAnsi="Times New Roman" w:eastAsia="方正仿宋简体"/>
            </w:rPr>
            <w:tab/>
          </w:r>
          <w:r>
            <w:rPr>
              <w:rFonts w:ascii="Times New Roman" w:hAnsi="Times New Roman" w:eastAsia="方正仿宋简体"/>
            </w:rPr>
            <w:fldChar w:fldCharType="begin"/>
          </w:r>
          <w:r>
            <w:rPr>
              <w:rFonts w:ascii="Times New Roman" w:hAnsi="Times New Roman" w:eastAsia="方正仿宋简体"/>
            </w:rPr>
            <w:instrText xml:space="preserve"> PAGEREF _Toc17214 \h </w:instrText>
          </w:r>
          <w:r>
            <w:rPr>
              <w:rFonts w:ascii="Times New Roman" w:hAnsi="Times New Roman" w:eastAsia="方正仿宋简体"/>
            </w:rPr>
            <w:fldChar w:fldCharType="separate"/>
          </w:r>
          <w:r>
            <w:rPr>
              <w:rFonts w:ascii="Times New Roman" w:hAnsi="Times New Roman" w:eastAsia="方正仿宋简体"/>
            </w:rPr>
            <w:t>4</w:t>
          </w:r>
          <w:r>
            <w:rPr>
              <w:rFonts w:ascii="Times New Roman" w:hAnsi="Times New Roman" w:eastAsia="方正仿宋简体"/>
            </w:rPr>
            <w:fldChar w:fldCharType="end"/>
          </w:r>
          <w:r>
            <w:rPr>
              <w:rFonts w:ascii="Times New Roman" w:hAnsi="Times New Roman" w:eastAsia="方正仿宋简体"/>
            </w:rPr>
            <w:fldChar w:fldCharType="end"/>
          </w:r>
        </w:p>
        <w:p>
          <w:pPr>
            <w:pStyle w:val="13"/>
            <w:tabs>
              <w:tab w:val="right" w:leader="dot" w:pos="8306"/>
              <w:tab w:val="clear" w:pos="8296"/>
            </w:tabs>
            <w:rPr>
              <w:rFonts w:eastAsia="方正仿宋简体"/>
              <w:sz w:val="24"/>
            </w:rPr>
          </w:pPr>
          <w:r>
            <w:fldChar w:fldCharType="begin"/>
          </w:r>
          <w:r>
            <w:instrText xml:space="preserve"> HYPERLINK \l "_Toc9983" </w:instrText>
          </w:r>
          <w:r>
            <w:fldChar w:fldCharType="separate"/>
          </w:r>
          <w:r>
            <w:rPr>
              <w:rFonts w:eastAsia="方正仿宋简体"/>
              <w:sz w:val="24"/>
            </w:rPr>
            <w:t>一、部门职责</w:t>
          </w:r>
          <w:r>
            <w:rPr>
              <w:rFonts w:eastAsia="方正仿宋简体"/>
              <w:sz w:val="24"/>
            </w:rPr>
            <w:tab/>
          </w:r>
          <w:r>
            <w:rPr>
              <w:rFonts w:eastAsia="方正仿宋简体"/>
              <w:sz w:val="24"/>
            </w:rPr>
            <w:fldChar w:fldCharType="begin"/>
          </w:r>
          <w:r>
            <w:rPr>
              <w:rFonts w:eastAsia="方正仿宋简体"/>
              <w:sz w:val="24"/>
            </w:rPr>
            <w:instrText xml:space="preserve"> PAGEREF _Toc9983 \h </w:instrText>
          </w:r>
          <w:r>
            <w:rPr>
              <w:rFonts w:eastAsia="方正仿宋简体"/>
              <w:sz w:val="24"/>
            </w:rPr>
            <w:fldChar w:fldCharType="separate"/>
          </w:r>
          <w:r>
            <w:rPr>
              <w:rFonts w:eastAsia="方正仿宋简体"/>
              <w:sz w:val="24"/>
            </w:rPr>
            <w:t>4</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"_Toc22254" </w:instrText>
          </w:r>
          <w:r>
            <w:fldChar w:fldCharType="separate"/>
          </w:r>
          <w:r>
            <w:rPr>
              <w:rFonts w:eastAsia="方正仿宋简体"/>
              <w:sz w:val="24"/>
            </w:rPr>
            <w:t>二、机构设置</w:t>
          </w:r>
          <w:r>
            <w:rPr>
              <w:rFonts w:eastAsia="方正仿宋简体"/>
              <w:sz w:val="24"/>
            </w:rPr>
            <w:tab/>
          </w:r>
          <w:r>
            <w:rPr>
              <w:rFonts w:eastAsia="方正仿宋简体"/>
              <w:sz w:val="24"/>
            </w:rPr>
            <w:fldChar w:fldCharType="begin"/>
          </w:r>
          <w:r>
            <w:rPr>
              <w:rFonts w:eastAsia="方正仿宋简体"/>
              <w:sz w:val="24"/>
            </w:rPr>
            <w:instrText xml:space="preserve"> PAGEREF _Toc22254 \h </w:instrText>
          </w:r>
          <w:r>
            <w:rPr>
              <w:rFonts w:eastAsia="方正仿宋简体"/>
              <w:sz w:val="24"/>
            </w:rPr>
            <w:fldChar w:fldCharType="separate"/>
          </w:r>
          <w:r>
            <w:rPr>
              <w:rFonts w:eastAsia="方正仿宋简体"/>
              <w:sz w:val="24"/>
            </w:rPr>
            <w:t>4</w:t>
          </w:r>
          <w:r>
            <w:rPr>
              <w:rFonts w:eastAsia="方正仿宋简体"/>
              <w:sz w:val="24"/>
            </w:rPr>
            <w:fldChar w:fldCharType="end"/>
          </w:r>
          <w:r>
            <w:rPr>
              <w:rFonts w:eastAsia="方正仿宋简体"/>
              <w:sz w:val="24"/>
            </w:rPr>
            <w:fldChar w:fldCharType="end"/>
          </w:r>
        </w:p>
        <w:p>
          <w:pPr>
            <w:pStyle w:val="12"/>
            <w:tabs>
              <w:tab w:val="right" w:leader="dot" w:pos="8306"/>
              <w:tab w:val="clear" w:pos="8296"/>
            </w:tabs>
            <w:rPr>
              <w:rFonts w:ascii="Times New Roman" w:hAnsi="Times New Roman" w:eastAsia="方正仿宋简体"/>
            </w:rPr>
          </w:pPr>
          <w:r>
            <w:fldChar w:fldCharType="begin"/>
          </w:r>
          <w:r>
            <w:instrText xml:space="preserve"> HYPERLINK \l "_Toc25466" </w:instrText>
          </w:r>
          <w:r>
            <w:fldChar w:fldCharType="separate"/>
          </w:r>
          <w:r>
            <w:rPr>
              <w:rFonts w:ascii="Times New Roman" w:hAnsi="Times New Roman" w:eastAsia="方正仿宋简体"/>
              <w:b/>
            </w:rPr>
            <w:t>第二部分 2022年度部门决算情况说明</w:t>
          </w:r>
          <w:r>
            <w:rPr>
              <w:rFonts w:ascii="Times New Roman" w:hAnsi="Times New Roman" w:eastAsia="方正仿宋简体"/>
            </w:rPr>
            <w:tab/>
          </w:r>
          <w:r>
            <w:rPr>
              <w:rFonts w:ascii="Times New Roman" w:hAnsi="Times New Roman" w:eastAsia="方正仿宋简体"/>
            </w:rPr>
            <w:fldChar w:fldCharType="begin"/>
          </w:r>
          <w:r>
            <w:rPr>
              <w:rFonts w:ascii="Times New Roman" w:hAnsi="Times New Roman" w:eastAsia="方正仿宋简体"/>
            </w:rPr>
            <w:instrText xml:space="preserve"> PAGEREF _Toc25466 \h </w:instrText>
          </w:r>
          <w:r>
            <w:rPr>
              <w:rFonts w:ascii="Times New Roman" w:hAnsi="Times New Roman" w:eastAsia="方正仿宋简体"/>
            </w:rPr>
            <w:fldChar w:fldCharType="separate"/>
          </w:r>
          <w:r>
            <w:rPr>
              <w:rFonts w:ascii="Times New Roman" w:hAnsi="Times New Roman" w:eastAsia="方正仿宋简体"/>
            </w:rPr>
            <w:t>5</w:t>
          </w:r>
          <w:r>
            <w:rPr>
              <w:rFonts w:ascii="Times New Roman" w:hAnsi="Times New Roman" w:eastAsia="方正仿宋简体"/>
            </w:rPr>
            <w:fldChar w:fldCharType="end"/>
          </w:r>
          <w:r>
            <w:rPr>
              <w:rFonts w:ascii="Times New Roman" w:hAnsi="Times New Roman" w:eastAsia="方正仿宋简体"/>
            </w:rPr>
            <w:fldChar w:fldCharType="end"/>
          </w:r>
        </w:p>
        <w:p>
          <w:pPr>
            <w:pStyle w:val="13"/>
            <w:tabs>
              <w:tab w:val="right" w:leader="dot" w:pos="8306"/>
              <w:tab w:val="clear" w:pos="8296"/>
            </w:tabs>
            <w:rPr>
              <w:rFonts w:eastAsia="方正仿宋简体"/>
              <w:sz w:val="24"/>
            </w:rPr>
          </w:pPr>
          <w:r>
            <w:fldChar w:fldCharType="begin"/>
          </w:r>
          <w:r>
            <w:instrText xml:space="preserve"> HYPERLINK \l "_Toc7935" </w:instrText>
          </w:r>
          <w:r>
            <w:fldChar w:fldCharType="separate"/>
          </w:r>
          <w:r>
            <w:rPr>
              <w:rFonts w:eastAsia="方正仿宋简体"/>
              <w:sz w:val="24"/>
            </w:rPr>
            <w:t>一、 收入支出决算总体情况说明</w:t>
          </w:r>
          <w:r>
            <w:rPr>
              <w:rFonts w:eastAsia="方正仿宋简体"/>
              <w:sz w:val="24"/>
            </w:rPr>
            <w:tab/>
          </w:r>
          <w:r>
            <w:rPr>
              <w:rFonts w:eastAsia="方正仿宋简体"/>
              <w:sz w:val="24"/>
            </w:rPr>
            <w:fldChar w:fldCharType="begin"/>
          </w:r>
          <w:r>
            <w:rPr>
              <w:rFonts w:eastAsia="方正仿宋简体"/>
              <w:sz w:val="24"/>
            </w:rPr>
            <w:instrText xml:space="preserve"> PAGEREF _Toc7935 \h </w:instrText>
          </w:r>
          <w:r>
            <w:rPr>
              <w:rFonts w:eastAsia="方正仿宋简体"/>
              <w:sz w:val="24"/>
            </w:rPr>
            <w:fldChar w:fldCharType="separate"/>
          </w:r>
          <w:r>
            <w:rPr>
              <w:rFonts w:eastAsia="方正仿宋简体"/>
              <w:sz w:val="24"/>
            </w:rPr>
            <w:t>5</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"_Toc26212" </w:instrText>
          </w:r>
          <w:r>
            <w:fldChar w:fldCharType="separate"/>
          </w:r>
          <w:r>
            <w:rPr>
              <w:rFonts w:eastAsia="方正仿宋简体"/>
              <w:sz w:val="24"/>
            </w:rPr>
            <w:t>二、 收入决算情况说明</w:t>
          </w:r>
          <w:r>
            <w:rPr>
              <w:rFonts w:eastAsia="方正仿宋简体"/>
              <w:sz w:val="24"/>
            </w:rPr>
            <w:tab/>
          </w:r>
          <w:r>
            <w:rPr>
              <w:rFonts w:eastAsia="方正仿宋简体"/>
              <w:sz w:val="24"/>
            </w:rPr>
            <w:fldChar w:fldCharType="begin"/>
          </w:r>
          <w:r>
            <w:rPr>
              <w:rFonts w:eastAsia="方正仿宋简体"/>
              <w:sz w:val="24"/>
            </w:rPr>
            <w:instrText xml:space="preserve"> PAGEREF _Toc26212 \h </w:instrText>
          </w:r>
          <w:r>
            <w:rPr>
              <w:rFonts w:eastAsia="方正仿宋简体"/>
              <w:sz w:val="24"/>
            </w:rPr>
            <w:fldChar w:fldCharType="separate"/>
          </w:r>
          <w:r>
            <w:rPr>
              <w:rFonts w:eastAsia="方正仿宋简体"/>
              <w:sz w:val="24"/>
            </w:rPr>
            <w:t>5</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"_Toc2563" </w:instrText>
          </w:r>
          <w:r>
            <w:fldChar w:fldCharType="separate"/>
          </w:r>
          <w:r>
            <w:rPr>
              <w:rFonts w:eastAsia="方正仿宋简体"/>
              <w:sz w:val="24"/>
            </w:rPr>
            <w:t>三、 支出决算情况说明</w:t>
          </w:r>
          <w:r>
            <w:rPr>
              <w:rFonts w:eastAsia="方正仿宋简体"/>
              <w:sz w:val="24"/>
            </w:rPr>
            <w:tab/>
          </w:r>
          <w:r>
            <w:rPr>
              <w:rFonts w:eastAsia="方正仿宋简体"/>
              <w:sz w:val="24"/>
            </w:rPr>
            <w:fldChar w:fldCharType="begin"/>
          </w:r>
          <w:r>
            <w:rPr>
              <w:rFonts w:eastAsia="方正仿宋简体"/>
              <w:sz w:val="24"/>
            </w:rPr>
            <w:instrText xml:space="preserve"> PAGEREF _Toc2563 \h </w:instrText>
          </w:r>
          <w:r>
            <w:rPr>
              <w:rFonts w:eastAsia="方正仿宋简体"/>
              <w:sz w:val="24"/>
            </w:rPr>
            <w:fldChar w:fldCharType="separate"/>
          </w:r>
          <w:r>
            <w:rPr>
              <w:rFonts w:eastAsia="方正仿宋简体"/>
              <w:sz w:val="24"/>
            </w:rPr>
            <w:t>5</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"_Toc15021" </w:instrText>
          </w:r>
          <w:r>
            <w:fldChar w:fldCharType="separate"/>
          </w:r>
          <w:r>
            <w:rPr>
              <w:rFonts w:eastAsia="方正仿宋简体"/>
              <w:sz w:val="24"/>
            </w:rPr>
            <w:t>四、财政拨款收入支出决算总体情况说明</w:t>
          </w:r>
          <w:r>
            <w:rPr>
              <w:rFonts w:eastAsia="方正仿宋简体"/>
              <w:sz w:val="24"/>
            </w:rPr>
            <w:tab/>
          </w:r>
          <w:r>
            <w:rPr>
              <w:rFonts w:eastAsia="方正仿宋简体"/>
              <w:sz w:val="24"/>
            </w:rPr>
            <w:fldChar w:fldCharType="begin"/>
          </w:r>
          <w:r>
            <w:rPr>
              <w:rFonts w:eastAsia="方正仿宋简体"/>
              <w:sz w:val="24"/>
            </w:rPr>
            <w:instrText xml:space="preserve"> PAGEREF _Toc15021 \h </w:instrText>
          </w:r>
          <w:r>
            <w:rPr>
              <w:rFonts w:eastAsia="方正仿宋简体"/>
              <w:sz w:val="24"/>
            </w:rPr>
            <w:fldChar w:fldCharType="separate"/>
          </w:r>
          <w:r>
            <w:rPr>
              <w:rFonts w:eastAsia="方正仿宋简体"/>
              <w:sz w:val="24"/>
            </w:rPr>
            <w:t>5</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"_Toc31561" </w:instrText>
          </w:r>
          <w:r>
            <w:fldChar w:fldCharType="separate"/>
          </w:r>
          <w:r>
            <w:rPr>
              <w:rFonts w:eastAsia="方正仿宋简体"/>
              <w:sz w:val="24"/>
            </w:rPr>
            <w:t>五、一般公共预算财政拨款支出决算情况说明</w:t>
          </w:r>
          <w:r>
            <w:rPr>
              <w:rFonts w:eastAsia="方正仿宋简体"/>
              <w:sz w:val="24"/>
            </w:rPr>
            <w:tab/>
          </w:r>
          <w:r>
            <w:rPr>
              <w:rFonts w:eastAsia="方正仿宋简体"/>
              <w:sz w:val="24"/>
            </w:rPr>
            <w:fldChar w:fldCharType="begin"/>
          </w:r>
          <w:r>
            <w:rPr>
              <w:rFonts w:eastAsia="方正仿宋简体"/>
              <w:sz w:val="24"/>
            </w:rPr>
            <w:instrText xml:space="preserve"> PAGEREF _Toc31561 \h </w:instrText>
          </w:r>
          <w:r>
            <w:rPr>
              <w:rFonts w:eastAsia="方正仿宋简体"/>
              <w:sz w:val="24"/>
            </w:rPr>
            <w:fldChar w:fldCharType="separate"/>
          </w:r>
          <w:r>
            <w:rPr>
              <w:rFonts w:eastAsia="方正仿宋简体"/>
              <w:sz w:val="24"/>
            </w:rPr>
            <w:t>5</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"_Toc4633" </w:instrText>
          </w:r>
          <w:r>
            <w:fldChar w:fldCharType="separate"/>
          </w:r>
          <w:r>
            <w:rPr>
              <w:rFonts w:eastAsia="方正仿宋简体"/>
              <w:sz w:val="24"/>
            </w:rPr>
            <w:t>六、一般公共预算财政拨款基本支出决算情况说明</w:t>
          </w:r>
          <w:r>
            <w:rPr>
              <w:rFonts w:eastAsia="方正仿宋简体"/>
              <w:sz w:val="24"/>
            </w:rPr>
            <w:tab/>
          </w:r>
          <w:r>
            <w:rPr>
              <w:rFonts w:eastAsia="方正仿宋简体"/>
              <w:sz w:val="24"/>
            </w:rPr>
            <w:fldChar w:fldCharType="begin"/>
          </w:r>
          <w:r>
            <w:rPr>
              <w:rFonts w:eastAsia="方正仿宋简体"/>
              <w:sz w:val="24"/>
            </w:rPr>
            <w:instrText xml:space="preserve"> PAGEREF _Toc4633 \h </w:instrText>
          </w:r>
          <w:r>
            <w:rPr>
              <w:rFonts w:eastAsia="方正仿宋简体"/>
              <w:sz w:val="24"/>
            </w:rPr>
            <w:fldChar w:fldCharType="separate"/>
          </w:r>
          <w:r>
            <w:rPr>
              <w:rFonts w:eastAsia="方正仿宋简体"/>
              <w:sz w:val="24"/>
            </w:rPr>
            <w:t>7</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"_Toc4718" </w:instrText>
          </w:r>
          <w:r>
            <w:fldChar w:fldCharType="separate"/>
          </w:r>
          <w:r>
            <w:rPr>
              <w:rFonts w:eastAsia="方正仿宋简体"/>
              <w:sz w:val="24"/>
            </w:rPr>
            <w:t>七、财政拨款“三公”经费支出决算情况说明</w:t>
          </w:r>
          <w:r>
            <w:rPr>
              <w:rFonts w:eastAsia="方正仿宋简体"/>
              <w:sz w:val="24"/>
            </w:rPr>
            <w:tab/>
          </w:r>
          <w:r>
            <w:rPr>
              <w:rFonts w:eastAsia="方正仿宋简体"/>
              <w:sz w:val="24"/>
            </w:rPr>
            <w:fldChar w:fldCharType="begin"/>
          </w:r>
          <w:r>
            <w:rPr>
              <w:rFonts w:eastAsia="方正仿宋简体"/>
              <w:sz w:val="24"/>
            </w:rPr>
            <w:instrText xml:space="preserve"> PAGEREF _Toc4718 \h </w:instrText>
          </w:r>
          <w:r>
            <w:rPr>
              <w:rFonts w:eastAsia="方正仿宋简体"/>
              <w:sz w:val="24"/>
            </w:rPr>
            <w:fldChar w:fldCharType="separate"/>
          </w:r>
          <w:r>
            <w:rPr>
              <w:rFonts w:eastAsia="方正仿宋简体"/>
              <w:sz w:val="24"/>
            </w:rPr>
            <w:t>7</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"_Toc5905" </w:instrText>
          </w:r>
          <w:r>
            <w:fldChar w:fldCharType="separate"/>
          </w:r>
          <w:r>
            <w:rPr>
              <w:rFonts w:eastAsia="方正仿宋简体"/>
              <w:sz w:val="24"/>
            </w:rPr>
            <w:t>八、政府性基金预算支出决算情况说明</w:t>
          </w:r>
          <w:r>
            <w:rPr>
              <w:rFonts w:eastAsia="方正仿宋简体"/>
              <w:sz w:val="24"/>
            </w:rPr>
            <w:tab/>
          </w:r>
          <w:r>
            <w:rPr>
              <w:rFonts w:eastAsia="方正仿宋简体"/>
              <w:sz w:val="24"/>
            </w:rPr>
            <w:fldChar w:fldCharType="begin"/>
          </w:r>
          <w:r>
            <w:rPr>
              <w:rFonts w:eastAsia="方正仿宋简体"/>
              <w:sz w:val="24"/>
            </w:rPr>
            <w:instrText xml:space="preserve"> PAGEREF _Toc5905 \h </w:instrText>
          </w:r>
          <w:r>
            <w:rPr>
              <w:rFonts w:eastAsia="方正仿宋简体"/>
              <w:sz w:val="24"/>
            </w:rPr>
            <w:fldChar w:fldCharType="separate"/>
          </w:r>
          <w:r>
            <w:rPr>
              <w:rFonts w:eastAsia="方正仿宋简体"/>
              <w:sz w:val="24"/>
            </w:rPr>
            <w:t>8</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"_Toc15472" </w:instrText>
          </w:r>
          <w:r>
            <w:fldChar w:fldCharType="separate"/>
          </w:r>
          <w:r>
            <w:rPr>
              <w:rFonts w:eastAsia="方正仿宋简体"/>
              <w:sz w:val="24"/>
            </w:rPr>
            <w:t>九、 国有资本经营预算支出决算情况说明</w:t>
          </w:r>
          <w:r>
            <w:rPr>
              <w:rFonts w:eastAsia="方正仿宋简体"/>
              <w:sz w:val="24"/>
            </w:rPr>
            <w:tab/>
          </w:r>
          <w:r>
            <w:rPr>
              <w:rFonts w:eastAsia="方正仿宋简体"/>
              <w:sz w:val="24"/>
            </w:rPr>
            <w:fldChar w:fldCharType="begin"/>
          </w:r>
          <w:r>
            <w:rPr>
              <w:rFonts w:eastAsia="方正仿宋简体"/>
              <w:sz w:val="24"/>
            </w:rPr>
            <w:instrText xml:space="preserve"> PAGEREF _Toc15472 \h </w:instrText>
          </w:r>
          <w:r>
            <w:rPr>
              <w:rFonts w:eastAsia="方正仿宋简体"/>
              <w:sz w:val="24"/>
            </w:rPr>
            <w:fldChar w:fldCharType="separate"/>
          </w:r>
          <w:r>
            <w:rPr>
              <w:rFonts w:eastAsia="方正仿宋简体"/>
              <w:sz w:val="24"/>
            </w:rPr>
            <w:t>8</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8"/>
              <w:szCs w:val="28"/>
            </w:rPr>
          </w:pPr>
          <w:r>
            <w:fldChar w:fldCharType="begin"/>
          </w:r>
          <w:r>
            <w:instrText xml:space="preserve"> HYPERLINK \l "_Toc9713" </w:instrText>
          </w:r>
          <w:r>
            <w:fldChar w:fldCharType="separate"/>
          </w:r>
          <w:r>
            <w:rPr>
              <w:rFonts w:eastAsia="方正仿宋简体"/>
              <w:sz w:val="24"/>
            </w:rPr>
            <w:t>十、 其他重要事项的情况说明</w:t>
          </w:r>
          <w:r>
            <w:rPr>
              <w:rFonts w:eastAsia="方正仿宋简体"/>
              <w:sz w:val="24"/>
            </w:rPr>
            <w:tab/>
          </w:r>
          <w:r>
            <w:rPr>
              <w:rFonts w:eastAsia="方正仿宋简体"/>
              <w:sz w:val="24"/>
            </w:rPr>
            <w:fldChar w:fldCharType="begin"/>
          </w:r>
          <w:r>
            <w:rPr>
              <w:rFonts w:eastAsia="方正仿宋简体"/>
              <w:sz w:val="24"/>
            </w:rPr>
            <w:instrText xml:space="preserve"> PAGEREF _Toc9713 \h </w:instrText>
          </w:r>
          <w:r>
            <w:rPr>
              <w:rFonts w:eastAsia="方正仿宋简体"/>
              <w:sz w:val="24"/>
            </w:rPr>
            <w:fldChar w:fldCharType="separate"/>
          </w:r>
          <w:r>
            <w:rPr>
              <w:rFonts w:eastAsia="方正仿宋简体"/>
              <w:sz w:val="24"/>
            </w:rPr>
            <w:t>8</w:t>
          </w:r>
          <w:r>
            <w:rPr>
              <w:rFonts w:eastAsia="方正仿宋简体"/>
              <w:sz w:val="24"/>
            </w:rPr>
            <w:fldChar w:fldCharType="end"/>
          </w:r>
          <w:r>
            <w:rPr>
              <w:rFonts w:eastAsia="方正仿宋简体"/>
              <w:sz w:val="24"/>
            </w:rPr>
            <w:fldChar w:fldCharType="end"/>
          </w:r>
        </w:p>
        <w:p>
          <w:pPr>
            <w:pStyle w:val="12"/>
            <w:tabs>
              <w:tab w:val="right" w:leader="dot" w:pos="8306"/>
              <w:tab w:val="clear" w:pos="8296"/>
            </w:tabs>
            <w:rPr>
              <w:rFonts w:ascii="Times New Roman" w:hAnsi="Times New Roman" w:eastAsia="方正仿宋简体"/>
              <w:b/>
              <w:bCs/>
            </w:rPr>
          </w:pPr>
          <w:r>
            <w:fldChar w:fldCharType="begin"/>
          </w:r>
          <w:r>
            <w:instrText xml:space="preserve"> HYPERLINK \l "_Toc16963" </w:instrText>
          </w:r>
          <w:r>
            <w:fldChar w:fldCharType="separate"/>
          </w:r>
          <w:r>
            <w:rPr>
              <w:rFonts w:ascii="Times New Roman" w:hAnsi="Times New Roman" w:eastAsia="方正仿宋简体"/>
              <w:b/>
              <w:bCs/>
            </w:rPr>
            <w:t>第三部分 名词解释</w:t>
          </w:r>
          <w:r>
            <w:rPr>
              <w:rFonts w:ascii="Times New Roman" w:hAnsi="Times New Roman" w:eastAsia="方正仿宋简体"/>
              <w:sz w:val="24"/>
              <w:szCs w:val="24"/>
            </w:rPr>
            <w:tab/>
          </w:r>
          <w:r>
            <w:rPr>
              <w:rFonts w:ascii="Times New Roman" w:hAnsi="Times New Roman" w:eastAsia="方正仿宋简体"/>
              <w:sz w:val="24"/>
              <w:szCs w:val="24"/>
            </w:rPr>
            <w:fldChar w:fldCharType="begin"/>
          </w:r>
          <w:r>
            <w:rPr>
              <w:rFonts w:ascii="Times New Roman" w:hAnsi="Times New Roman" w:eastAsia="方正仿宋简体"/>
              <w:sz w:val="24"/>
              <w:szCs w:val="24"/>
            </w:rPr>
            <w:instrText xml:space="preserve"> PAGEREF _Toc16963 \h </w:instrText>
          </w:r>
          <w:r>
            <w:rPr>
              <w:rFonts w:ascii="Times New Roman" w:hAnsi="Times New Roman" w:eastAsia="方正仿宋简体"/>
              <w:sz w:val="24"/>
              <w:szCs w:val="24"/>
            </w:rPr>
            <w:fldChar w:fldCharType="separate"/>
          </w:r>
          <w:r>
            <w:rPr>
              <w:rFonts w:ascii="Times New Roman" w:hAnsi="Times New Roman" w:eastAsia="方正仿宋简体"/>
              <w:sz w:val="24"/>
              <w:szCs w:val="24"/>
            </w:rPr>
            <w:t>10</w:t>
          </w:r>
          <w:r>
            <w:rPr>
              <w:rFonts w:ascii="Times New Roman" w:hAnsi="Times New Roman" w:eastAsia="方正仿宋简体"/>
              <w:sz w:val="24"/>
              <w:szCs w:val="24"/>
            </w:rPr>
            <w:fldChar w:fldCharType="end"/>
          </w:r>
          <w:r>
            <w:rPr>
              <w:rFonts w:ascii="Times New Roman" w:hAnsi="Times New Roman" w:eastAsia="方正仿宋简体"/>
              <w:sz w:val="24"/>
              <w:szCs w:val="24"/>
            </w:rPr>
            <w:fldChar w:fldCharType="end"/>
          </w:r>
        </w:p>
        <w:p>
          <w:pPr>
            <w:pStyle w:val="12"/>
            <w:tabs>
              <w:tab w:val="right" w:leader="dot" w:pos="8306"/>
              <w:tab w:val="clear" w:pos="8296"/>
            </w:tabs>
            <w:rPr>
              <w:rFonts w:ascii="Times New Roman" w:hAnsi="Times New Roman" w:eastAsia="方正仿宋简体"/>
              <w:b/>
              <w:bCs/>
            </w:rPr>
          </w:pPr>
          <w:r>
            <w:fldChar w:fldCharType="begin"/>
          </w:r>
          <w:r>
            <w:instrText xml:space="preserve"> HYPERLINK \l "_Toc29114" </w:instrText>
          </w:r>
          <w:r>
            <w:fldChar w:fldCharType="separate"/>
          </w:r>
          <w:r>
            <w:rPr>
              <w:rFonts w:ascii="Times New Roman" w:hAnsi="Times New Roman" w:eastAsia="方正仿宋简体"/>
              <w:b/>
              <w:bCs/>
            </w:rPr>
            <w:t>第四部分 附件</w:t>
          </w:r>
          <w:r>
            <w:rPr>
              <w:rFonts w:ascii="Times New Roman" w:hAnsi="Times New Roman" w:eastAsia="方正仿宋简体"/>
              <w:sz w:val="24"/>
              <w:szCs w:val="24"/>
            </w:rPr>
            <w:tab/>
          </w:r>
          <w:r>
            <w:rPr>
              <w:rFonts w:ascii="Times New Roman" w:hAnsi="Times New Roman" w:eastAsia="方正仿宋简体"/>
              <w:sz w:val="24"/>
              <w:szCs w:val="24"/>
            </w:rPr>
            <w:fldChar w:fldCharType="begin"/>
          </w:r>
          <w:r>
            <w:rPr>
              <w:rFonts w:ascii="Times New Roman" w:hAnsi="Times New Roman" w:eastAsia="方正仿宋简体"/>
              <w:sz w:val="24"/>
              <w:szCs w:val="24"/>
            </w:rPr>
            <w:instrText xml:space="preserve"> PAGEREF _Toc29114 \h </w:instrText>
          </w:r>
          <w:r>
            <w:rPr>
              <w:rFonts w:ascii="Times New Roman" w:hAnsi="Times New Roman" w:eastAsia="方正仿宋简体"/>
              <w:sz w:val="24"/>
              <w:szCs w:val="24"/>
            </w:rPr>
            <w:fldChar w:fldCharType="separate"/>
          </w:r>
          <w:r>
            <w:rPr>
              <w:rFonts w:ascii="Times New Roman" w:hAnsi="Times New Roman" w:eastAsia="方正仿宋简体"/>
              <w:sz w:val="24"/>
              <w:szCs w:val="24"/>
            </w:rPr>
            <w:t>13</w:t>
          </w:r>
          <w:r>
            <w:rPr>
              <w:rFonts w:ascii="Times New Roman" w:hAnsi="Times New Roman" w:eastAsia="方正仿宋简体"/>
              <w:sz w:val="24"/>
              <w:szCs w:val="24"/>
            </w:rPr>
            <w:fldChar w:fldCharType="end"/>
          </w:r>
          <w:r>
            <w:rPr>
              <w:rFonts w:ascii="Times New Roman" w:hAnsi="Times New Roman" w:eastAsia="方正仿宋简体"/>
              <w:sz w:val="24"/>
              <w:szCs w:val="24"/>
            </w:rPr>
            <w:fldChar w:fldCharType="end"/>
          </w:r>
        </w:p>
        <w:p>
          <w:pPr>
            <w:pStyle w:val="12"/>
            <w:tabs>
              <w:tab w:val="right" w:leader="dot" w:pos="8306"/>
              <w:tab w:val="clear" w:pos="8296"/>
            </w:tabs>
            <w:rPr>
              <w:rFonts w:ascii="Times New Roman" w:hAnsi="Times New Roman" w:eastAsia="方正仿宋简体"/>
            </w:rPr>
          </w:pPr>
          <w:r>
            <w:fldChar w:fldCharType="begin"/>
          </w:r>
          <w:r>
            <w:instrText xml:space="preserve"> HYPERLINK \l "_Toc26946" </w:instrText>
          </w:r>
          <w:r>
            <w:fldChar w:fldCharType="separate"/>
          </w:r>
          <w:r>
            <w:rPr>
              <w:rFonts w:ascii="Times New Roman" w:hAnsi="Times New Roman" w:eastAsia="方正仿宋简体"/>
              <w:b/>
              <w:bCs/>
            </w:rPr>
            <w:t>第五部分 附表</w:t>
          </w:r>
          <w:r>
            <w:rPr>
              <w:rFonts w:ascii="Times New Roman" w:hAnsi="Times New Roman" w:eastAsia="方正仿宋简体"/>
              <w:sz w:val="24"/>
              <w:szCs w:val="24"/>
            </w:rPr>
            <w:tab/>
          </w:r>
          <w:r>
            <w:rPr>
              <w:rFonts w:ascii="Times New Roman" w:hAnsi="Times New Roman" w:eastAsia="方正仿宋简体"/>
              <w:sz w:val="24"/>
              <w:szCs w:val="24"/>
            </w:rPr>
            <w:fldChar w:fldCharType="begin"/>
          </w:r>
          <w:r>
            <w:rPr>
              <w:rFonts w:ascii="Times New Roman" w:hAnsi="Times New Roman" w:eastAsia="方正仿宋简体"/>
              <w:sz w:val="24"/>
              <w:szCs w:val="24"/>
            </w:rPr>
            <w:instrText xml:space="preserve"> PAGEREF _Toc26946 \h </w:instrText>
          </w:r>
          <w:r>
            <w:rPr>
              <w:rFonts w:ascii="Times New Roman" w:hAnsi="Times New Roman" w:eastAsia="方正仿宋简体"/>
              <w:sz w:val="24"/>
              <w:szCs w:val="24"/>
            </w:rPr>
            <w:fldChar w:fldCharType="separate"/>
          </w:r>
          <w:r>
            <w:rPr>
              <w:rFonts w:ascii="Times New Roman" w:hAnsi="Times New Roman" w:eastAsia="方正仿宋简体"/>
              <w:sz w:val="24"/>
              <w:szCs w:val="24"/>
            </w:rPr>
            <w:t>17</w:t>
          </w:r>
          <w:r>
            <w:rPr>
              <w:rFonts w:ascii="Times New Roman" w:hAnsi="Times New Roman" w:eastAsia="方正仿宋简体"/>
              <w:sz w:val="24"/>
              <w:szCs w:val="24"/>
            </w:rPr>
            <w:fldChar w:fldCharType="end"/>
          </w:r>
          <w:r>
            <w:rPr>
              <w:rFonts w:ascii="Times New Roman" w:hAnsi="Times New Roman" w:eastAsia="方正仿宋简体"/>
              <w:sz w:val="24"/>
              <w:szCs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"_Toc30541" </w:instrText>
          </w:r>
          <w:r>
            <w:fldChar w:fldCharType="separate"/>
          </w:r>
          <w:r>
            <w:rPr>
              <w:rFonts w:eastAsia="方正仿宋简体"/>
              <w:sz w:val="24"/>
            </w:rPr>
            <w:t>一、收入支出决算总表</w:t>
          </w:r>
          <w:r>
            <w:rPr>
              <w:rFonts w:eastAsia="方正仿宋简体"/>
              <w:sz w:val="24"/>
            </w:rPr>
            <w:tab/>
          </w:r>
          <w:r>
            <w:rPr>
              <w:rFonts w:eastAsia="方正仿宋简体"/>
              <w:sz w:val="24"/>
            </w:rPr>
            <w:fldChar w:fldCharType="begin"/>
          </w:r>
          <w:r>
            <w:rPr>
              <w:rFonts w:eastAsia="方正仿宋简体"/>
              <w:sz w:val="24"/>
            </w:rPr>
            <w:instrText xml:space="preserve"> PAGEREF _Toc30541 \h </w:instrText>
          </w:r>
          <w:r>
            <w:rPr>
              <w:rFonts w:eastAsia="方正仿宋简体"/>
              <w:sz w:val="24"/>
            </w:rPr>
            <w:fldChar w:fldCharType="separate"/>
          </w:r>
          <w:r>
            <w:rPr>
              <w:rFonts w:eastAsia="方正仿宋简体"/>
              <w:sz w:val="24"/>
            </w:rPr>
            <w:t>17</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"_Toc7154" </w:instrText>
          </w:r>
          <w:r>
            <w:fldChar w:fldCharType="separate"/>
          </w:r>
          <w:r>
            <w:rPr>
              <w:rFonts w:eastAsia="方正仿宋简体"/>
              <w:sz w:val="24"/>
            </w:rPr>
            <w:t>二、收入决算表</w:t>
          </w:r>
          <w:r>
            <w:rPr>
              <w:rFonts w:eastAsia="方正仿宋简体"/>
              <w:sz w:val="24"/>
            </w:rPr>
            <w:tab/>
          </w:r>
          <w:r>
            <w:rPr>
              <w:rFonts w:eastAsia="方正仿宋简体"/>
              <w:sz w:val="24"/>
            </w:rPr>
            <w:fldChar w:fldCharType="begin"/>
          </w:r>
          <w:r>
            <w:rPr>
              <w:rFonts w:eastAsia="方正仿宋简体"/>
              <w:sz w:val="24"/>
            </w:rPr>
            <w:instrText xml:space="preserve"> PAGEREF _Toc7154 \h </w:instrText>
          </w:r>
          <w:r>
            <w:rPr>
              <w:rFonts w:eastAsia="方正仿宋简体"/>
              <w:sz w:val="24"/>
            </w:rPr>
            <w:fldChar w:fldCharType="separate"/>
          </w:r>
          <w:r>
            <w:rPr>
              <w:rFonts w:eastAsia="方正仿宋简体"/>
              <w:sz w:val="24"/>
            </w:rPr>
            <w:t>17</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"_Toc31651" </w:instrText>
          </w:r>
          <w:r>
            <w:fldChar w:fldCharType="separate"/>
          </w:r>
          <w:r>
            <w:rPr>
              <w:rFonts w:eastAsia="方正仿宋简体"/>
              <w:sz w:val="24"/>
            </w:rPr>
            <w:t>三、支出决算表</w:t>
          </w:r>
          <w:r>
            <w:rPr>
              <w:rFonts w:eastAsia="方正仿宋简体"/>
              <w:sz w:val="24"/>
            </w:rPr>
            <w:tab/>
          </w:r>
          <w:r>
            <w:rPr>
              <w:rFonts w:eastAsia="方正仿宋简体"/>
              <w:sz w:val="24"/>
            </w:rPr>
            <w:fldChar w:fldCharType="begin"/>
          </w:r>
          <w:r>
            <w:rPr>
              <w:rFonts w:eastAsia="方正仿宋简体"/>
              <w:sz w:val="24"/>
            </w:rPr>
            <w:instrText xml:space="preserve"> PAGEREF _Toc31651 \h </w:instrText>
          </w:r>
          <w:r>
            <w:rPr>
              <w:rFonts w:eastAsia="方正仿宋简体"/>
              <w:sz w:val="24"/>
            </w:rPr>
            <w:fldChar w:fldCharType="separate"/>
          </w:r>
          <w:r>
            <w:rPr>
              <w:rFonts w:eastAsia="方正仿宋简体"/>
              <w:sz w:val="24"/>
            </w:rPr>
            <w:t>17</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"_Toc1506" </w:instrText>
          </w:r>
          <w:r>
            <w:fldChar w:fldCharType="separate"/>
          </w:r>
          <w:r>
            <w:rPr>
              <w:rFonts w:eastAsia="方正仿宋简体"/>
              <w:sz w:val="24"/>
            </w:rPr>
            <w:t>四、财政拨款收入支出决算总表</w:t>
          </w:r>
          <w:r>
            <w:rPr>
              <w:rFonts w:eastAsia="方正仿宋简体"/>
              <w:sz w:val="24"/>
            </w:rPr>
            <w:tab/>
          </w:r>
          <w:r>
            <w:rPr>
              <w:rFonts w:eastAsia="方正仿宋简体"/>
              <w:sz w:val="24"/>
            </w:rPr>
            <w:fldChar w:fldCharType="begin"/>
          </w:r>
          <w:r>
            <w:rPr>
              <w:rFonts w:eastAsia="方正仿宋简体"/>
              <w:sz w:val="24"/>
            </w:rPr>
            <w:instrText xml:space="preserve"> PAGEREF _Toc1506 \h </w:instrText>
          </w:r>
          <w:r>
            <w:rPr>
              <w:rFonts w:eastAsia="方正仿宋简体"/>
              <w:sz w:val="24"/>
            </w:rPr>
            <w:fldChar w:fldCharType="separate"/>
          </w:r>
          <w:r>
            <w:rPr>
              <w:rFonts w:eastAsia="方正仿宋简体"/>
              <w:sz w:val="24"/>
            </w:rPr>
            <w:t>17</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"_Toc29851" </w:instrText>
          </w:r>
          <w:r>
            <w:fldChar w:fldCharType="separate"/>
          </w:r>
          <w:r>
            <w:rPr>
              <w:rFonts w:eastAsia="方正仿宋简体"/>
              <w:sz w:val="24"/>
            </w:rPr>
            <w:t>五、财政拨款支出决算明细表</w:t>
          </w:r>
          <w:r>
            <w:rPr>
              <w:rFonts w:eastAsia="方正仿宋简体"/>
              <w:sz w:val="24"/>
            </w:rPr>
            <w:tab/>
          </w:r>
          <w:r>
            <w:rPr>
              <w:rFonts w:eastAsia="方正仿宋简体"/>
              <w:sz w:val="24"/>
            </w:rPr>
            <w:fldChar w:fldCharType="begin"/>
          </w:r>
          <w:r>
            <w:rPr>
              <w:rFonts w:eastAsia="方正仿宋简体"/>
              <w:sz w:val="24"/>
            </w:rPr>
            <w:instrText xml:space="preserve"> PAGEREF _Toc29851 \h </w:instrText>
          </w:r>
          <w:r>
            <w:rPr>
              <w:rFonts w:eastAsia="方正仿宋简体"/>
              <w:sz w:val="24"/>
            </w:rPr>
            <w:fldChar w:fldCharType="separate"/>
          </w:r>
          <w:r>
            <w:rPr>
              <w:rFonts w:eastAsia="方正仿宋简体"/>
              <w:sz w:val="24"/>
            </w:rPr>
            <w:t>17</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"_Toc9152" </w:instrText>
          </w:r>
          <w:r>
            <w:fldChar w:fldCharType="separate"/>
          </w:r>
          <w:r>
            <w:rPr>
              <w:rFonts w:eastAsia="方正仿宋简体"/>
              <w:sz w:val="24"/>
            </w:rPr>
            <w:t>六、一般公共预算财政拨款支出决算表</w:t>
          </w:r>
          <w:r>
            <w:rPr>
              <w:rFonts w:eastAsia="方正仿宋简体"/>
              <w:sz w:val="24"/>
            </w:rPr>
            <w:tab/>
          </w:r>
          <w:r>
            <w:rPr>
              <w:rFonts w:eastAsia="方正仿宋简体"/>
              <w:sz w:val="24"/>
            </w:rPr>
            <w:fldChar w:fldCharType="begin"/>
          </w:r>
          <w:r>
            <w:rPr>
              <w:rFonts w:eastAsia="方正仿宋简体"/>
              <w:sz w:val="24"/>
            </w:rPr>
            <w:instrText xml:space="preserve"> PAGEREF _Toc9152 \h </w:instrText>
          </w:r>
          <w:r>
            <w:rPr>
              <w:rFonts w:eastAsia="方正仿宋简体"/>
              <w:sz w:val="24"/>
            </w:rPr>
            <w:fldChar w:fldCharType="separate"/>
          </w:r>
          <w:r>
            <w:rPr>
              <w:rFonts w:eastAsia="方正仿宋简体"/>
              <w:sz w:val="24"/>
            </w:rPr>
            <w:t>17</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"_Toc31056" </w:instrText>
          </w:r>
          <w:r>
            <w:fldChar w:fldCharType="separate"/>
          </w:r>
          <w:r>
            <w:rPr>
              <w:rFonts w:eastAsia="方正仿宋简体"/>
              <w:sz w:val="24"/>
            </w:rPr>
            <w:t>七、一般公共预算财政拨款支出决算明细表</w:t>
          </w:r>
          <w:r>
            <w:rPr>
              <w:rFonts w:eastAsia="方正仿宋简体"/>
              <w:sz w:val="24"/>
            </w:rPr>
            <w:tab/>
          </w:r>
          <w:r>
            <w:rPr>
              <w:rFonts w:eastAsia="方正仿宋简体"/>
              <w:sz w:val="24"/>
            </w:rPr>
            <w:fldChar w:fldCharType="begin"/>
          </w:r>
          <w:r>
            <w:rPr>
              <w:rFonts w:eastAsia="方正仿宋简体"/>
              <w:sz w:val="24"/>
            </w:rPr>
            <w:instrText xml:space="preserve"> PAGEREF _Toc31056 \h </w:instrText>
          </w:r>
          <w:r>
            <w:rPr>
              <w:rFonts w:eastAsia="方正仿宋简体"/>
              <w:sz w:val="24"/>
            </w:rPr>
            <w:fldChar w:fldCharType="separate"/>
          </w:r>
          <w:r>
            <w:rPr>
              <w:rFonts w:eastAsia="方正仿宋简体"/>
              <w:sz w:val="24"/>
            </w:rPr>
            <w:t>17</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"_Toc4308" </w:instrText>
          </w:r>
          <w:r>
            <w:fldChar w:fldCharType="separate"/>
          </w:r>
          <w:r>
            <w:rPr>
              <w:rFonts w:eastAsia="方正仿宋简体"/>
              <w:sz w:val="24"/>
            </w:rPr>
            <w:t>八、一般公共预算财政拨款基本支出决算表</w:t>
          </w:r>
          <w:r>
            <w:rPr>
              <w:rFonts w:eastAsia="方正仿宋简体"/>
              <w:sz w:val="24"/>
            </w:rPr>
            <w:tab/>
          </w:r>
          <w:r>
            <w:rPr>
              <w:rFonts w:eastAsia="方正仿宋简体"/>
              <w:sz w:val="24"/>
            </w:rPr>
            <w:fldChar w:fldCharType="begin"/>
          </w:r>
          <w:r>
            <w:rPr>
              <w:rFonts w:eastAsia="方正仿宋简体"/>
              <w:sz w:val="24"/>
            </w:rPr>
            <w:instrText xml:space="preserve"> PAGEREF _Toc4308 \h </w:instrText>
          </w:r>
          <w:r>
            <w:rPr>
              <w:rFonts w:eastAsia="方正仿宋简体"/>
              <w:sz w:val="24"/>
            </w:rPr>
            <w:fldChar w:fldCharType="separate"/>
          </w:r>
          <w:r>
            <w:rPr>
              <w:rFonts w:eastAsia="方正仿宋简体"/>
              <w:sz w:val="24"/>
            </w:rPr>
            <w:t>17</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"_Toc32285" </w:instrText>
          </w:r>
          <w:r>
            <w:fldChar w:fldCharType="separate"/>
          </w:r>
          <w:r>
            <w:rPr>
              <w:rFonts w:eastAsia="方正仿宋简体"/>
              <w:sz w:val="24"/>
            </w:rPr>
            <w:t>九、一般公共预算财政拨款项目支出决算表</w:t>
          </w:r>
          <w:r>
            <w:rPr>
              <w:rFonts w:eastAsia="方正仿宋简体"/>
              <w:sz w:val="24"/>
            </w:rPr>
            <w:tab/>
          </w:r>
          <w:r>
            <w:rPr>
              <w:rFonts w:eastAsia="方正仿宋简体"/>
              <w:sz w:val="24"/>
            </w:rPr>
            <w:fldChar w:fldCharType="begin"/>
          </w:r>
          <w:r>
            <w:rPr>
              <w:rFonts w:eastAsia="方正仿宋简体"/>
              <w:sz w:val="24"/>
            </w:rPr>
            <w:instrText xml:space="preserve"> PAGEREF _Toc32285 \h </w:instrText>
          </w:r>
          <w:r>
            <w:rPr>
              <w:rFonts w:eastAsia="方正仿宋简体"/>
              <w:sz w:val="24"/>
            </w:rPr>
            <w:fldChar w:fldCharType="separate"/>
          </w:r>
          <w:r>
            <w:rPr>
              <w:rFonts w:eastAsia="方正仿宋简体"/>
              <w:sz w:val="24"/>
            </w:rPr>
            <w:t>17</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"_Toc25976" </w:instrText>
          </w:r>
          <w:r>
            <w:fldChar w:fldCharType="separate"/>
          </w:r>
          <w:r>
            <w:rPr>
              <w:rFonts w:eastAsia="方正仿宋简体"/>
              <w:sz w:val="24"/>
            </w:rPr>
            <w:t>十、政府性基金预算财政拨款收入支出决算表</w:t>
          </w:r>
          <w:r>
            <w:rPr>
              <w:rFonts w:eastAsia="方正仿宋简体"/>
              <w:sz w:val="24"/>
            </w:rPr>
            <w:tab/>
          </w:r>
          <w:r>
            <w:rPr>
              <w:rFonts w:eastAsia="方正仿宋简体"/>
              <w:sz w:val="24"/>
            </w:rPr>
            <w:fldChar w:fldCharType="begin"/>
          </w:r>
          <w:r>
            <w:rPr>
              <w:rFonts w:eastAsia="方正仿宋简体"/>
              <w:sz w:val="24"/>
            </w:rPr>
            <w:instrText xml:space="preserve"> PAGEREF _Toc25976 \h </w:instrText>
          </w:r>
          <w:r>
            <w:rPr>
              <w:rFonts w:eastAsia="方正仿宋简体"/>
              <w:sz w:val="24"/>
            </w:rPr>
            <w:fldChar w:fldCharType="separate"/>
          </w:r>
          <w:r>
            <w:rPr>
              <w:rFonts w:eastAsia="方正仿宋简体"/>
              <w:sz w:val="24"/>
            </w:rPr>
            <w:t>17</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"_Toc434" </w:instrText>
          </w:r>
          <w:r>
            <w:fldChar w:fldCharType="separate"/>
          </w:r>
          <w:r>
            <w:rPr>
              <w:rFonts w:eastAsia="方正仿宋简体"/>
              <w:sz w:val="24"/>
            </w:rPr>
            <w:t>十一、国有资本经营预算财政拨款收入支出决算表</w:t>
          </w:r>
          <w:r>
            <w:rPr>
              <w:rFonts w:eastAsia="方正仿宋简体"/>
              <w:sz w:val="24"/>
            </w:rPr>
            <w:tab/>
          </w:r>
          <w:r>
            <w:rPr>
              <w:rFonts w:eastAsia="方正仿宋简体"/>
              <w:sz w:val="24"/>
            </w:rPr>
            <w:fldChar w:fldCharType="begin"/>
          </w:r>
          <w:r>
            <w:rPr>
              <w:rFonts w:eastAsia="方正仿宋简体"/>
              <w:sz w:val="24"/>
            </w:rPr>
            <w:instrText xml:space="preserve"> PAGEREF _Toc434 \h </w:instrText>
          </w:r>
          <w:r>
            <w:rPr>
              <w:rFonts w:eastAsia="方正仿宋简体"/>
              <w:sz w:val="24"/>
            </w:rPr>
            <w:fldChar w:fldCharType="separate"/>
          </w:r>
          <w:r>
            <w:rPr>
              <w:rFonts w:eastAsia="方正仿宋简体"/>
              <w:sz w:val="24"/>
            </w:rPr>
            <w:t>17</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rPr>
              <w:rFonts w:eastAsia="方正仿宋简体"/>
              <w:sz w:val="24"/>
            </w:rPr>
          </w:pPr>
          <w:r>
            <w:fldChar w:fldCharType="begin"/>
          </w:r>
          <w:r>
            <w:instrText xml:space="preserve"> HYPERLINK \l "_Toc22100" </w:instrText>
          </w:r>
          <w:r>
            <w:fldChar w:fldCharType="separate"/>
          </w:r>
          <w:r>
            <w:rPr>
              <w:rFonts w:eastAsia="方正仿宋简体"/>
              <w:sz w:val="24"/>
            </w:rPr>
            <w:t>十二、国有资本经营预算财政拨款支出决算表</w:t>
          </w:r>
          <w:r>
            <w:rPr>
              <w:rFonts w:eastAsia="方正仿宋简体"/>
              <w:sz w:val="24"/>
            </w:rPr>
            <w:tab/>
          </w:r>
          <w:r>
            <w:rPr>
              <w:rFonts w:eastAsia="方正仿宋简体"/>
              <w:sz w:val="24"/>
            </w:rPr>
            <w:fldChar w:fldCharType="begin"/>
          </w:r>
          <w:r>
            <w:rPr>
              <w:rFonts w:eastAsia="方正仿宋简体"/>
              <w:sz w:val="24"/>
            </w:rPr>
            <w:instrText xml:space="preserve"> PAGEREF _Toc22100 \h </w:instrText>
          </w:r>
          <w:r>
            <w:rPr>
              <w:rFonts w:eastAsia="方正仿宋简体"/>
              <w:sz w:val="24"/>
            </w:rPr>
            <w:fldChar w:fldCharType="separate"/>
          </w:r>
          <w:r>
            <w:rPr>
              <w:rFonts w:eastAsia="方正仿宋简体"/>
              <w:sz w:val="24"/>
            </w:rPr>
            <w:t>17</w:t>
          </w:r>
          <w:r>
            <w:rPr>
              <w:rFonts w:eastAsia="方正仿宋简体"/>
              <w:sz w:val="24"/>
            </w:rPr>
            <w:fldChar w:fldCharType="end"/>
          </w:r>
          <w:r>
            <w:rPr>
              <w:rFonts w:eastAsia="方正仿宋简体"/>
              <w:sz w:val="24"/>
            </w:rPr>
            <w:fldChar w:fldCharType="end"/>
          </w:r>
        </w:p>
        <w:p>
          <w:pPr>
            <w:pStyle w:val="13"/>
            <w:tabs>
              <w:tab w:val="right" w:leader="dot" w:pos="8306"/>
              <w:tab w:val="clear" w:pos="8296"/>
            </w:tabs>
          </w:pPr>
          <w:r>
            <w:fldChar w:fldCharType="begin"/>
          </w:r>
          <w:r>
            <w:instrText xml:space="preserve"> HYPERLINK \l "_Toc15340" </w:instrText>
          </w:r>
          <w:r>
            <w:fldChar w:fldCharType="separate"/>
          </w:r>
          <w:r>
            <w:rPr>
              <w:rFonts w:eastAsia="方正仿宋简体"/>
              <w:sz w:val="24"/>
            </w:rPr>
            <w:t>十三、财政拨款“三公”经费支出决算表</w:t>
          </w:r>
          <w:r>
            <w:rPr>
              <w:rFonts w:eastAsia="方正仿宋简体"/>
              <w:sz w:val="24"/>
            </w:rPr>
            <w:tab/>
          </w:r>
          <w:r>
            <w:rPr>
              <w:rFonts w:eastAsia="方正仿宋简体"/>
              <w:sz w:val="24"/>
            </w:rPr>
            <w:fldChar w:fldCharType="begin"/>
          </w:r>
          <w:r>
            <w:rPr>
              <w:rFonts w:eastAsia="方正仿宋简体"/>
              <w:sz w:val="24"/>
            </w:rPr>
            <w:instrText xml:space="preserve"> PAGEREF _Toc15340 \h </w:instrText>
          </w:r>
          <w:r>
            <w:rPr>
              <w:rFonts w:eastAsia="方正仿宋简体"/>
              <w:sz w:val="24"/>
            </w:rPr>
            <w:fldChar w:fldCharType="separate"/>
          </w:r>
          <w:r>
            <w:rPr>
              <w:rFonts w:eastAsia="方正仿宋简体"/>
              <w:sz w:val="24"/>
            </w:rPr>
            <w:t>17</w:t>
          </w:r>
          <w:r>
            <w:rPr>
              <w:rFonts w:eastAsia="方正仿宋简体"/>
              <w:sz w:val="24"/>
            </w:rPr>
            <w:fldChar w:fldCharType="end"/>
          </w:r>
          <w:r>
            <w:rPr>
              <w:rFonts w:eastAsia="方正仿宋简体"/>
              <w:sz w:val="24"/>
            </w:rPr>
            <w:fldChar w:fldCharType="end"/>
          </w:r>
        </w:p>
        <w:p>
          <w:pPr>
            <w:jc w:val="center"/>
          </w:pPr>
          <w:r>
            <w:rPr>
              <w:b/>
              <w:sz w:val="24"/>
            </w:rPr>
            <w:fldChar w:fldCharType="end"/>
          </w:r>
        </w:p>
      </w:sdtContent>
    </w:sdt>
    <w:p>
      <w:pPr>
        <w:widowControl/>
        <w:spacing w:line="440" w:lineRule="exact"/>
        <w:jc w:val="left"/>
        <w:rPr>
          <w:rFonts w:eastAsia="仿宋"/>
          <w:bCs/>
          <w:kern w:val="44"/>
          <w:sz w:val="24"/>
          <w:highlight w:val="yellow"/>
        </w:rPr>
      </w:pPr>
    </w:p>
    <w:p>
      <w:pPr>
        <w:rPr>
          <w:rFonts w:eastAsia="黑体"/>
        </w:rPr>
      </w:pPr>
      <w:bookmarkStart w:id="16" w:name="_Toc17214"/>
      <w:bookmarkStart w:id="17" w:name="_Toc18520"/>
      <w:r>
        <w:rPr>
          <w:rFonts w:eastAsia="黑体"/>
        </w:rPr>
        <w:br w:type="page"/>
      </w:r>
    </w:p>
    <w:p>
      <w:pPr>
        <w:pStyle w:val="3"/>
        <w:jc w:val="center"/>
        <w:rPr>
          <w:rFonts w:eastAsia="黑体"/>
          <w:sz w:val="32"/>
          <w:szCs w:val="32"/>
        </w:rPr>
      </w:pPr>
      <w:r>
        <w:rPr>
          <w:rFonts w:eastAsia="黑体"/>
          <w:b w:val="0"/>
        </w:rPr>
        <w:t xml:space="preserve">第一部分 </w:t>
      </w:r>
      <w:r>
        <w:rPr>
          <w:rStyle w:val="29"/>
          <w:rFonts w:eastAsia="黑体"/>
          <w:b w:val="0"/>
          <w:bCs w:val="0"/>
        </w:rPr>
        <w:t>部门概况</w:t>
      </w:r>
      <w:bookmarkEnd w:id="14"/>
      <w:bookmarkEnd w:id="15"/>
      <w:bookmarkEnd w:id="16"/>
      <w:bookmarkEnd w:id="17"/>
    </w:p>
    <w:p>
      <w:pPr>
        <w:spacing w:line="540" w:lineRule="exact"/>
        <w:ind w:firstLine="640" w:firstLineChars="200"/>
        <w:outlineLvl w:val="1"/>
        <w:rPr>
          <w:rFonts w:eastAsia="黑体"/>
          <w:sz w:val="32"/>
          <w:szCs w:val="32"/>
        </w:rPr>
      </w:pPr>
      <w:bookmarkStart w:id="18" w:name="_Toc15377197"/>
      <w:bookmarkStart w:id="19" w:name="_Toc15396600"/>
      <w:bookmarkStart w:id="20" w:name="_Toc9983"/>
      <w:bookmarkStart w:id="21" w:name="_Toc7397"/>
      <w:r>
        <w:rPr>
          <w:rFonts w:eastAsia="黑体"/>
          <w:sz w:val="32"/>
          <w:szCs w:val="32"/>
        </w:rPr>
        <w:t>一、</w:t>
      </w:r>
      <w:bookmarkEnd w:id="18"/>
      <w:bookmarkEnd w:id="19"/>
      <w:r>
        <w:rPr>
          <w:rFonts w:eastAsia="黑体"/>
          <w:sz w:val="32"/>
          <w:szCs w:val="32"/>
        </w:rPr>
        <w:t>部门职责</w:t>
      </w:r>
      <w:bookmarkEnd w:id="20"/>
      <w:bookmarkEnd w:id="21"/>
      <w:bookmarkStart w:id="22" w:name="_Toc15396601"/>
      <w:bookmarkStart w:id="23" w:name="_Toc15377200"/>
      <w:bookmarkStart w:id="24" w:name="_Toc30462"/>
    </w:p>
    <w:p>
      <w:pPr>
        <w:spacing w:line="540" w:lineRule="exact"/>
        <w:ind w:firstLine="640" w:firstLineChars="200"/>
        <w:rPr>
          <w:rFonts w:eastAsia="方正仿宋_GBK"/>
          <w:sz w:val="32"/>
          <w:szCs w:val="32"/>
        </w:rPr>
      </w:pPr>
      <w:r>
        <w:rPr>
          <w:rFonts w:eastAsia="方正仿宋_GBK"/>
          <w:sz w:val="32"/>
          <w:szCs w:val="32"/>
        </w:rPr>
        <w:t>1．指导全市普通国道公路养护管理工作。</w:t>
      </w:r>
    </w:p>
    <w:p>
      <w:pPr>
        <w:spacing w:line="540" w:lineRule="exact"/>
        <w:ind w:firstLine="640" w:firstLineChars="200"/>
        <w:rPr>
          <w:rFonts w:eastAsia="方正仿宋_GBK"/>
          <w:sz w:val="32"/>
          <w:szCs w:val="32"/>
        </w:rPr>
      </w:pPr>
      <w:r>
        <w:rPr>
          <w:rFonts w:eastAsia="方正仿宋_GBK"/>
          <w:sz w:val="32"/>
          <w:szCs w:val="32"/>
        </w:rPr>
        <w:t>2．制订国道公路养护管理相关制度。</w:t>
      </w:r>
    </w:p>
    <w:p>
      <w:pPr>
        <w:spacing w:line="540" w:lineRule="exact"/>
        <w:ind w:firstLine="640" w:firstLineChars="200"/>
        <w:rPr>
          <w:rFonts w:eastAsia="方正仿宋_GBK"/>
          <w:sz w:val="32"/>
          <w:szCs w:val="32"/>
        </w:rPr>
      </w:pPr>
      <w:r>
        <w:rPr>
          <w:rFonts w:eastAsia="方正仿宋_GBK"/>
          <w:sz w:val="32"/>
          <w:szCs w:val="32"/>
        </w:rPr>
        <w:t>3．编制全市国道公路养护大（中）修工程计划。</w:t>
      </w:r>
    </w:p>
    <w:p>
      <w:pPr>
        <w:spacing w:line="540" w:lineRule="exact"/>
        <w:ind w:firstLine="640" w:firstLineChars="200"/>
        <w:rPr>
          <w:rFonts w:eastAsia="方正仿宋_GBK"/>
          <w:sz w:val="32"/>
          <w:szCs w:val="32"/>
        </w:rPr>
      </w:pPr>
      <w:r>
        <w:rPr>
          <w:rFonts w:eastAsia="方正仿宋_GBK"/>
          <w:sz w:val="32"/>
          <w:szCs w:val="32"/>
        </w:rPr>
        <w:t>4．检查、验收国道公路大（中）修项目落实情况。</w:t>
      </w:r>
    </w:p>
    <w:p>
      <w:pPr>
        <w:spacing w:line="540" w:lineRule="exact"/>
        <w:ind w:firstLine="640" w:firstLineChars="200"/>
        <w:rPr>
          <w:rFonts w:eastAsia="方正仿宋_GBK"/>
          <w:sz w:val="32"/>
          <w:szCs w:val="32"/>
        </w:rPr>
      </w:pPr>
      <w:r>
        <w:rPr>
          <w:rFonts w:eastAsia="方正仿宋_GBK"/>
          <w:sz w:val="32"/>
          <w:szCs w:val="32"/>
        </w:rPr>
        <w:t>5．督导国道公路养护巡查、检查养护质量。</w:t>
      </w:r>
    </w:p>
    <w:p>
      <w:pPr>
        <w:spacing w:line="540" w:lineRule="exact"/>
        <w:ind w:firstLine="640" w:firstLineChars="200"/>
        <w:rPr>
          <w:rFonts w:eastAsia="方正仿宋_GBK"/>
          <w:sz w:val="32"/>
          <w:szCs w:val="32"/>
        </w:rPr>
      </w:pPr>
      <w:r>
        <w:rPr>
          <w:rFonts w:eastAsia="方正仿宋_GBK"/>
          <w:sz w:val="32"/>
          <w:szCs w:val="32"/>
        </w:rPr>
        <w:t>6．收集、统计、上报全市国道公路养护生产各类报表、交通流量数据及桥梁基本情况。</w:t>
      </w:r>
    </w:p>
    <w:p>
      <w:pPr>
        <w:spacing w:line="540" w:lineRule="exact"/>
        <w:ind w:firstLine="640" w:firstLineChars="200"/>
        <w:rPr>
          <w:rFonts w:eastAsia="方正仿宋_GBK"/>
          <w:sz w:val="32"/>
          <w:szCs w:val="32"/>
        </w:rPr>
      </w:pPr>
      <w:r>
        <w:rPr>
          <w:rFonts w:eastAsia="方正仿宋_GBK"/>
          <w:sz w:val="32"/>
          <w:szCs w:val="32"/>
        </w:rPr>
        <w:t>7．具体负责由市直接管理的普通国道的公路的建设（改建）、养护和路政管理工作。</w:t>
      </w:r>
    </w:p>
    <w:p>
      <w:pPr>
        <w:spacing w:line="540" w:lineRule="exact"/>
        <w:ind w:firstLine="640" w:firstLineChars="200"/>
        <w:rPr>
          <w:rFonts w:eastAsia="方正仿宋_GBK"/>
          <w:sz w:val="32"/>
          <w:szCs w:val="32"/>
        </w:rPr>
      </w:pPr>
      <w:r>
        <w:rPr>
          <w:rFonts w:eastAsia="方正仿宋_GBK"/>
          <w:sz w:val="32"/>
          <w:szCs w:val="32"/>
        </w:rPr>
        <w:t>8．完成上级交办的其他工作。</w:t>
      </w:r>
    </w:p>
    <w:p>
      <w:pPr>
        <w:spacing w:line="540" w:lineRule="exact"/>
        <w:ind w:firstLine="640" w:firstLineChars="200"/>
        <w:outlineLvl w:val="1"/>
        <w:rPr>
          <w:rStyle w:val="30"/>
          <w:rFonts w:ascii="Times New Roman" w:hAnsi="Times New Roman" w:eastAsia="黑体" w:cs="Times New Roman"/>
          <w:b w:val="0"/>
          <w:bCs w:val="0"/>
        </w:rPr>
      </w:pPr>
      <w:bookmarkStart w:id="25" w:name="_Toc22254"/>
      <w:r>
        <w:rPr>
          <w:rFonts w:eastAsia="黑体"/>
          <w:sz w:val="32"/>
          <w:szCs w:val="32"/>
        </w:rPr>
        <w:t>二、机</w:t>
      </w:r>
      <w:r>
        <w:rPr>
          <w:rStyle w:val="30"/>
          <w:rFonts w:ascii="Times New Roman" w:hAnsi="Times New Roman" w:eastAsia="黑体" w:cs="Times New Roman"/>
          <w:b w:val="0"/>
          <w:bCs w:val="0"/>
        </w:rPr>
        <w:t>构设置</w:t>
      </w:r>
      <w:bookmarkEnd w:id="22"/>
      <w:bookmarkEnd w:id="23"/>
      <w:bookmarkEnd w:id="24"/>
      <w:bookmarkEnd w:id="25"/>
    </w:p>
    <w:p>
      <w:pPr>
        <w:spacing w:line="540" w:lineRule="exact"/>
        <w:ind w:firstLine="640" w:firstLineChars="200"/>
        <w:rPr>
          <w:rFonts w:eastAsia="仿宋"/>
          <w:sz w:val="32"/>
          <w:szCs w:val="32"/>
        </w:rPr>
      </w:pPr>
      <w:r>
        <w:rPr>
          <w:rFonts w:eastAsia="仿宋"/>
          <w:sz w:val="32"/>
          <w:szCs w:val="32"/>
        </w:rPr>
        <w:t>巴中市国道管理所内设办公室、养护科、财务科、安全科、路产保护科。下辖枣林养护站、乐坝养护站和乐坝超限检测站。</w:t>
      </w:r>
    </w:p>
    <w:p>
      <w:pPr>
        <w:widowControl/>
        <w:spacing w:line="540" w:lineRule="exact"/>
        <w:jc w:val="left"/>
        <w:rPr>
          <w:rFonts w:eastAsia="仿宋"/>
          <w:kern w:val="0"/>
          <w:sz w:val="32"/>
          <w:szCs w:val="32"/>
        </w:rPr>
      </w:pPr>
      <w:r>
        <w:rPr>
          <w:rFonts w:eastAsia="仿宋"/>
          <w:sz w:val="32"/>
          <w:szCs w:val="32"/>
        </w:rPr>
        <w:br w:type="page"/>
      </w:r>
    </w:p>
    <w:p>
      <w:pPr>
        <w:pStyle w:val="3"/>
        <w:spacing w:line="540" w:lineRule="exact"/>
        <w:ind w:right="440"/>
        <w:jc w:val="center"/>
        <w:rPr>
          <w:rStyle w:val="29"/>
          <w:rFonts w:eastAsia="黑体"/>
          <w:b w:val="0"/>
          <w:bCs/>
        </w:rPr>
      </w:pPr>
      <w:bookmarkStart w:id="26" w:name="_Toc15396602"/>
      <w:bookmarkStart w:id="27" w:name="_Toc25466"/>
      <w:bookmarkStart w:id="28" w:name="_Toc13386"/>
      <w:bookmarkStart w:id="29" w:name="_Toc15377204"/>
      <w:r>
        <w:rPr>
          <w:rFonts w:eastAsia="黑体"/>
          <w:b w:val="0"/>
        </w:rPr>
        <w:t>第二部分 2022年度</w:t>
      </w:r>
      <w:r>
        <w:rPr>
          <w:rStyle w:val="29"/>
          <w:rFonts w:eastAsia="黑体"/>
          <w:b w:val="0"/>
          <w:bCs/>
        </w:rPr>
        <w:t>部门决算情况说明</w:t>
      </w:r>
      <w:bookmarkEnd w:id="26"/>
      <w:bookmarkEnd w:id="27"/>
      <w:bookmarkEnd w:id="28"/>
      <w:bookmarkEnd w:id="29"/>
    </w:p>
    <w:p>
      <w:pPr>
        <w:spacing w:line="540" w:lineRule="exact"/>
      </w:pPr>
    </w:p>
    <w:p>
      <w:pPr>
        <w:pStyle w:val="28"/>
        <w:numPr>
          <w:ilvl w:val="0"/>
          <w:numId w:val="1"/>
        </w:numPr>
        <w:spacing w:line="540" w:lineRule="exact"/>
        <w:ind w:firstLineChars="0"/>
        <w:outlineLvl w:val="1"/>
        <w:rPr>
          <w:rStyle w:val="30"/>
          <w:rFonts w:ascii="Times New Roman" w:hAnsi="Times New Roman" w:eastAsia="黑体" w:cs="Times New Roman"/>
          <w:b w:val="0"/>
        </w:rPr>
      </w:pPr>
      <w:bookmarkStart w:id="30" w:name="_Toc15377205"/>
      <w:bookmarkStart w:id="31" w:name="_Toc30653"/>
      <w:bookmarkStart w:id="32" w:name="_Toc15396603"/>
      <w:bookmarkStart w:id="33" w:name="_Toc7935"/>
      <w:r>
        <w:rPr>
          <w:rFonts w:eastAsia="黑体"/>
          <w:sz w:val="32"/>
          <w:szCs w:val="32"/>
        </w:rPr>
        <w:t>收</w:t>
      </w:r>
      <w:r>
        <w:rPr>
          <w:rStyle w:val="30"/>
          <w:rFonts w:ascii="Times New Roman" w:hAnsi="Times New Roman" w:eastAsia="黑体" w:cs="Times New Roman"/>
          <w:b w:val="0"/>
        </w:rPr>
        <w:t>入支出决算总体情况说明</w:t>
      </w:r>
      <w:bookmarkEnd w:id="30"/>
      <w:bookmarkEnd w:id="31"/>
      <w:bookmarkEnd w:id="32"/>
      <w:bookmarkEnd w:id="33"/>
    </w:p>
    <w:p>
      <w:pPr>
        <w:spacing w:line="540" w:lineRule="exact"/>
        <w:ind w:firstLine="640" w:firstLineChars="200"/>
        <w:rPr>
          <w:rFonts w:eastAsia="仿宋"/>
          <w:sz w:val="32"/>
          <w:szCs w:val="32"/>
        </w:rPr>
      </w:pPr>
      <w:r>
        <w:rPr>
          <w:rFonts w:eastAsia="仿宋"/>
          <w:sz w:val="32"/>
          <w:szCs w:val="32"/>
        </w:rPr>
        <w:t>2022年度收、支总计3680.6万元。与2021年相比，收、支总计减少71.81万元，下降1.91%。主要变动原因是实施项目工程减少。</w:t>
      </w:r>
    </w:p>
    <w:p>
      <w:pPr>
        <w:spacing w:line="540" w:lineRule="exact"/>
        <w:ind w:firstLine="640" w:firstLineChars="200"/>
        <w:jc w:val="left"/>
        <w:rPr>
          <w:rFonts w:eastAsia="仿宋_GB2312"/>
          <w:sz w:val="32"/>
          <w:szCs w:val="32"/>
        </w:rPr>
      </w:pPr>
    </w:p>
    <w:p>
      <w:pPr>
        <w:pStyle w:val="28"/>
        <w:numPr>
          <w:ilvl w:val="0"/>
          <w:numId w:val="1"/>
        </w:numPr>
        <w:spacing w:line="540" w:lineRule="exact"/>
        <w:ind w:firstLineChars="0"/>
        <w:outlineLvl w:val="1"/>
        <w:rPr>
          <w:rStyle w:val="30"/>
          <w:rFonts w:ascii="Times New Roman" w:hAnsi="Times New Roman" w:eastAsia="黑体" w:cs="Times New Roman"/>
          <w:b w:val="0"/>
        </w:rPr>
      </w:pPr>
      <w:bookmarkStart w:id="34" w:name="_Toc15396604"/>
      <w:bookmarkStart w:id="35" w:name="_Toc25008"/>
      <w:bookmarkStart w:id="36" w:name="_Toc15377206"/>
      <w:bookmarkStart w:id="37" w:name="_Toc26212"/>
      <w:r>
        <w:rPr>
          <w:rFonts w:eastAsia="黑体"/>
          <w:sz w:val="32"/>
          <w:szCs w:val="32"/>
        </w:rPr>
        <w:t>收</w:t>
      </w:r>
      <w:r>
        <w:rPr>
          <w:rStyle w:val="30"/>
          <w:rFonts w:ascii="Times New Roman" w:hAnsi="Times New Roman" w:eastAsia="黑体" w:cs="Times New Roman"/>
          <w:b w:val="0"/>
        </w:rPr>
        <w:t>入决算情况说明</w:t>
      </w:r>
      <w:bookmarkEnd w:id="34"/>
      <w:bookmarkEnd w:id="35"/>
      <w:bookmarkEnd w:id="36"/>
      <w:bookmarkEnd w:id="37"/>
    </w:p>
    <w:p>
      <w:pPr>
        <w:spacing w:line="540" w:lineRule="exact"/>
        <w:ind w:firstLine="640" w:firstLineChars="200"/>
        <w:rPr>
          <w:rFonts w:eastAsia="仿宋"/>
          <w:sz w:val="32"/>
          <w:szCs w:val="32"/>
        </w:rPr>
      </w:pPr>
      <w:bookmarkStart w:id="38" w:name="_Toc4707"/>
      <w:r>
        <w:rPr>
          <w:rFonts w:eastAsia="仿宋"/>
          <w:sz w:val="32"/>
          <w:szCs w:val="32"/>
        </w:rPr>
        <w:t>2022年本年收入合计1509.3万元，其中：一般公共预算财政拨款收入1087.8万元，占72.07%；政府性基金预算财政拨款收入0万元，占0%；国有资本经营预算财政拨款收入0万元，占0%；上级补助收入421.5万元，占27.93%；事业收入0万元，占0%；经营收入0万元，占0%；附属单位上缴收入0万元，占0%；其他收入0万元，占0%。</w:t>
      </w:r>
      <w:bookmarkEnd w:id="38"/>
    </w:p>
    <w:p>
      <w:pPr>
        <w:spacing w:line="540" w:lineRule="exact"/>
        <w:ind w:firstLine="640" w:firstLineChars="200"/>
        <w:rPr>
          <w:rFonts w:eastAsia="仿宋_GB2312"/>
          <w:sz w:val="32"/>
          <w:szCs w:val="32"/>
        </w:rPr>
      </w:pPr>
    </w:p>
    <w:p>
      <w:pPr>
        <w:pStyle w:val="28"/>
        <w:numPr>
          <w:ilvl w:val="0"/>
          <w:numId w:val="1"/>
        </w:numPr>
        <w:spacing w:line="540" w:lineRule="exact"/>
        <w:ind w:firstLineChars="0"/>
        <w:outlineLvl w:val="1"/>
        <w:rPr>
          <w:rStyle w:val="30"/>
          <w:rFonts w:ascii="Times New Roman" w:hAnsi="Times New Roman" w:eastAsia="黑体" w:cs="Times New Roman"/>
          <w:b w:val="0"/>
        </w:rPr>
      </w:pPr>
      <w:bookmarkStart w:id="39" w:name="_Toc15377207"/>
      <w:bookmarkStart w:id="40" w:name="_Toc15396605"/>
      <w:bookmarkStart w:id="41" w:name="_Toc2563"/>
      <w:bookmarkStart w:id="42" w:name="_Toc834"/>
      <w:r>
        <w:rPr>
          <w:rFonts w:eastAsia="黑体"/>
          <w:sz w:val="32"/>
          <w:szCs w:val="32"/>
        </w:rPr>
        <w:t>支</w:t>
      </w:r>
      <w:r>
        <w:rPr>
          <w:rStyle w:val="30"/>
          <w:rFonts w:ascii="Times New Roman" w:hAnsi="Times New Roman" w:eastAsia="黑体" w:cs="Times New Roman"/>
          <w:b w:val="0"/>
        </w:rPr>
        <w:t>出决算情况说明</w:t>
      </w:r>
      <w:bookmarkEnd w:id="39"/>
      <w:bookmarkEnd w:id="40"/>
      <w:bookmarkEnd w:id="41"/>
      <w:bookmarkEnd w:id="42"/>
    </w:p>
    <w:p>
      <w:pPr>
        <w:spacing w:line="540" w:lineRule="exact"/>
        <w:ind w:firstLine="640" w:firstLineChars="200"/>
        <w:rPr>
          <w:rFonts w:eastAsia="仿宋"/>
          <w:sz w:val="32"/>
          <w:szCs w:val="32"/>
        </w:rPr>
      </w:pPr>
      <w:bookmarkStart w:id="43" w:name="_Toc10582"/>
      <w:r>
        <w:rPr>
          <w:rFonts w:eastAsia="仿宋"/>
          <w:sz w:val="32"/>
          <w:szCs w:val="32"/>
        </w:rPr>
        <w:t>2022年本年支出合计2171.3万元，其中：基本支出1016.7万元，占46.82%；项目支出1154.6万元，占53.18%</w:t>
      </w:r>
      <w:bookmarkEnd w:id="43"/>
      <w:r>
        <w:rPr>
          <w:rFonts w:eastAsia="仿宋"/>
          <w:sz w:val="32"/>
          <w:szCs w:val="32"/>
        </w:rPr>
        <w:t>。</w:t>
      </w:r>
    </w:p>
    <w:p>
      <w:pPr>
        <w:spacing w:line="540" w:lineRule="exact"/>
        <w:outlineLvl w:val="1"/>
        <w:rPr>
          <w:rFonts w:eastAsia="仿宋"/>
          <w:b/>
          <w:sz w:val="32"/>
          <w:szCs w:val="32"/>
        </w:rPr>
      </w:pPr>
    </w:p>
    <w:p>
      <w:pPr>
        <w:spacing w:line="540" w:lineRule="exact"/>
        <w:ind w:firstLine="640" w:firstLineChars="200"/>
        <w:outlineLvl w:val="1"/>
        <w:rPr>
          <w:rStyle w:val="30"/>
          <w:rFonts w:ascii="Times New Roman" w:hAnsi="Times New Roman" w:eastAsia="黑体" w:cs="Times New Roman"/>
          <w:b w:val="0"/>
        </w:rPr>
      </w:pPr>
      <w:bookmarkStart w:id="44" w:name="_Toc15021"/>
      <w:bookmarkStart w:id="45" w:name="_Toc15377208"/>
      <w:bookmarkStart w:id="46" w:name="_Toc11972"/>
      <w:bookmarkStart w:id="47" w:name="_Toc15396606"/>
      <w:r>
        <w:rPr>
          <w:rFonts w:eastAsia="黑体"/>
          <w:sz w:val="32"/>
          <w:szCs w:val="32"/>
        </w:rPr>
        <w:t>四、财</w:t>
      </w:r>
      <w:r>
        <w:rPr>
          <w:rStyle w:val="30"/>
          <w:rFonts w:ascii="Times New Roman" w:hAnsi="Times New Roman" w:eastAsia="黑体" w:cs="Times New Roman"/>
          <w:b w:val="0"/>
        </w:rPr>
        <w:t>政拨款收入支出决算总体情况说明</w:t>
      </w:r>
      <w:bookmarkEnd w:id="44"/>
      <w:bookmarkEnd w:id="45"/>
      <w:bookmarkEnd w:id="46"/>
      <w:bookmarkEnd w:id="47"/>
    </w:p>
    <w:p>
      <w:pPr>
        <w:spacing w:line="540" w:lineRule="exact"/>
        <w:ind w:firstLine="640"/>
        <w:rPr>
          <w:rFonts w:eastAsia="仿宋"/>
          <w:sz w:val="32"/>
          <w:szCs w:val="32"/>
        </w:rPr>
      </w:pPr>
      <w:r>
        <w:rPr>
          <w:rFonts w:eastAsia="仿宋"/>
          <w:sz w:val="32"/>
          <w:szCs w:val="32"/>
        </w:rPr>
        <w:t xml:space="preserve">2022年度收、支总计3680.6万元。与2021年相比，收、支总计减少71.81万元，下降1.91%。主要变动原因是实施项目工程减少。    </w:t>
      </w:r>
    </w:p>
    <w:p>
      <w:pPr>
        <w:pStyle w:val="2"/>
        <w:spacing w:before="93" w:line="540" w:lineRule="exact"/>
        <w:rPr>
          <w:rFonts w:ascii="Times New Roman" w:eastAsia="仿宋"/>
          <w:b/>
          <w:sz w:val="32"/>
          <w:szCs w:val="32"/>
        </w:rPr>
      </w:pPr>
      <w:r>
        <w:rPr>
          <w:rFonts w:ascii="Times New Roman" w:eastAsia="仿宋"/>
          <w:sz w:val="32"/>
          <w:szCs w:val="32"/>
        </w:rPr>
        <w:t xml:space="preserve">   </w:t>
      </w:r>
    </w:p>
    <w:p>
      <w:pPr>
        <w:spacing w:line="540" w:lineRule="exact"/>
        <w:ind w:firstLine="640" w:firstLineChars="200"/>
        <w:outlineLvl w:val="1"/>
        <w:rPr>
          <w:rStyle w:val="30"/>
          <w:rFonts w:ascii="Times New Roman" w:hAnsi="Times New Roman" w:eastAsia="黑体" w:cs="Times New Roman"/>
          <w:b w:val="0"/>
        </w:rPr>
      </w:pPr>
      <w:bookmarkStart w:id="48" w:name="_Toc15396607"/>
      <w:bookmarkStart w:id="49" w:name="_Toc15377209"/>
      <w:bookmarkStart w:id="50" w:name="_Toc31561"/>
      <w:bookmarkStart w:id="51" w:name="_Toc6906"/>
      <w:r>
        <w:rPr>
          <w:rFonts w:eastAsia="黑体"/>
          <w:sz w:val="32"/>
          <w:szCs w:val="32"/>
        </w:rPr>
        <w:t>五、</w:t>
      </w:r>
      <w:r>
        <w:rPr>
          <w:rFonts w:eastAsia="黑体"/>
          <w:b/>
          <w:sz w:val="32"/>
          <w:szCs w:val="32"/>
        </w:rPr>
        <w:t>一</w:t>
      </w:r>
      <w:r>
        <w:rPr>
          <w:rStyle w:val="30"/>
          <w:rFonts w:ascii="Times New Roman" w:hAnsi="Times New Roman" w:eastAsia="黑体" w:cs="Times New Roman"/>
          <w:b w:val="0"/>
        </w:rPr>
        <w:t>般公共预算财政拨款支出决算情况说明</w:t>
      </w:r>
      <w:bookmarkEnd w:id="48"/>
      <w:bookmarkEnd w:id="49"/>
      <w:bookmarkEnd w:id="50"/>
      <w:bookmarkEnd w:id="51"/>
    </w:p>
    <w:p>
      <w:pPr>
        <w:spacing w:line="540" w:lineRule="exact"/>
        <w:ind w:firstLine="643" w:firstLineChars="200"/>
        <w:outlineLvl w:val="2"/>
        <w:rPr>
          <w:rFonts w:eastAsia="仿宋"/>
          <w:b/>
          <w:sz w:val="32"/>
          <w:szCs w:val="32"/>
        </w:rPr>
      </w:pPr>
      <w:bookmarkStart w:id="52" w:name="_Toc15377210"/>
      <w:r>
        <w:rPr>
          <w:rFonts w:eastAsia="仿宋"/>
          <w:b/>
          <w:sz w:val="32"/>
          <w:szCs w:val="32"/>
        </w:rPr>
        <w:t>（一）一般公共预算财政拨款支出决算总体情况</w:t>
      </w:r>
      <w:bookmarkEnd w:id="52"/>
    </w:p>
    <w:p>
      <w:pPr>
        <w:spacing w:line="540" w:lineRule="exact"/>
        <w:ind w:firstLine="640" w:firstLineChars="200"/>
        <w:rPr>
          <w:rFonts w:eastAsia="仿宋"/>
          <w:sz w:val="32"/>
          <w:szCs w:val="32"/>
        </w:rPr>
      </w:pPr>
      <w:r>
        <w:rPr>
          <w:rFonts w:eastAsia="仿宋"/>
          <w:sz w:val="32"/>
          <w:szCs w:val="32"/>
        </w:rPr>
        <w:t>2022年一般公共预算财政拨款支出2171.3万元，占本年支出合计的100%。与2021年相比，一般公共预算财政拨款支出增加366.29万元，增长20.29%。主要变动原因是</w:t>
      </w:r>
      <w:r>
        <w:rPr>
          <w:rFonts w:eastAsia="仿宋"/>
          <w:color w:val="000000"/>
          <w:sz w:val="32"/>
          <w:szCs w:val="32"/>
        </w:rPr>
        <w:t>一是财政拨入了水毁修复资金；二是</w:t>
      </w:r>
      <w:r>
        <w:rPr>
          <w:rFonts w:eastAsia="仿宋"/>
          <w:sz w:val="32"/>
          <w:szCs w:val="32"/>
        </w:rPr>
        <w:t>国家统一调资增资增加基本工资。</w:t>
      </w:r>
    </w:p>
    <w:p>
      <w:pPr>
        <w:spacing w:line="540" w:lineRule="exact"/>
        <w:ind w:firstLine="640" w:firstLineChars="200"/>
        <w:rPr>
          <w:rFonts w:eastAsia="仿宋"/>
          <w:sz w:val="32"/>
          <w:szCs w:val="32"/>
        </w:rPr>
      </w:pPr>
    </w:p>
    <w:p>
      <w:pPr>
        <w:spacing w:line="540" w:lineRule="exact"/>
        <w:ind w:firstLine="643" w:firstLineChars="200"/>
        <w:outlineLvl w:val="2"/>
        <w:rPr>
          <w:rFonts w:eastAsia="仿宋"/>
          <w:b/>
          <w:sz w:val="32"/>
          <w:szCs w:val="32"/>
        </w:rPr>
      </w:pPr>
      <w:bookmarkStart w:id="53" w:name="_Toc15377211"/>
      <w:r>
        <w:rPr>
          <w:rFonts w:eastAsia="仿宋"/>
          <w:b/>
          <w:sz w:val="32"/>
          <w:szCs w:val="32"/>
        </w:rPr>
        <w:t>（二）一般公共预算财政拨款支出决算结构情况</w:t>
      </w:r>
      <w:bookmarkEnd w:id="53"/>
    </w:p>
    <w:p>
      <w:pPr>
        <w:spacing w:line="540" w:lineRule="exact"/>
        <w:ind w:firstLine="640" w:firstLineChars="200"/>
        <w:rPr>
          <w:rFonts w:eastAsia="仿宋"/>
          <w:b/>
          <w:sz w:val="32"/>
          <w:szCs w:val="32"/>
        </w:rPr>
      </w:pPr>
      <w:r>
        <w:rPr>
          <w:rFonts w:eastAsia="仿宋"/>
          <w:color w:val="000000"/>
          <w:sz w:val="32"/>
          <w:szCs w:val="32"/>
        </w:rPr>
        <w:t>2022年一般公共预算财政拨款支出1016.7万元，主要用于以下方面:</w:t>
      </w:r>
      <w:r>
        <w:rPr>
          <w:rFonts w:eastAsia="仿宋"/>
          <w:b/>
          <w:color w:val="000000"/>
          <w:sz w:val="32"/>
          <w:szCs w:val="32"/>
        </w:rPr>
        <w:t>社会保障和就业（类）</w:t>
      </w:r>
      <w:r>
        <w:rPr>
          <w:rFonts w:eastAsia="仿宋"/>
          <w:color w:val="000000"/>
          <w:sz w:val="32"/>
          <w:szCs w:val="32"/>
        </w:rPr>
        <w:t>支出58.83万元，占5.78%；</w:t>
      </w:r>
      <w:r>
        <w:rPr>
          <w:rFonts w:eastAsia="仿宋"/>
          <w:b/>
          <w:bCs/>
          <w:sz w:val="32"/>
          <w:szCs w:val="32"/>
        </w:rPr>
        <w:t>交通运输支出</w:t>
      </w:r>
      <w:r>
        <w:rPr>
          <w:rFonts w:eastAsia="仿宋"/>
          <w:sz w:val="32"/>
          <w:szCs w:val="32"/>
        </w:rPr>
        <w:t>857.92万元，占84.38%；</w:t>
      </w:r>
      <w:r>
        <w:rPr>
          <w:rFonts w:eastAsia="仿宋"/>
          <w:b/>
          <w:bCs/>
          <w:color w:val="000000"/>
          <w:sz w:val="32"/>
          <w:szCs w:val="32"/>
        </w:rPr>
        <w:t>卫生健康支出34.34</w:t>
      </w:r>
      <w:r>
        <w:rPr>
          <w:rFonts w:eastAsia="仿宋"/>
          <w:color w:val="000000"/>
          <w:sz w:val="32"/>
          <w:szCs w:val="32"/>
        </w:rPr>
        <w:t>万元，占3.37%；住房保障支出65.61万元，占6.45%。</w:t>
      </w:r>
    </w:p>
    <w:p>
      <w:pPr>
        <w:spacing w:line="540" w:lineRule="exact"/>
        <w:ind w:firstLine="640" w:firstLineChars="200"/>
        <w:rPr>
          <w:rFonts w:eastAsia="仿宋"/>
          <w:sz w:val="32"/>
          <w:szCs w:val="32"/>
        </w:rPr>
      </w:pPr>
    </w:p>
    <w:p>
      <w:pPr>
        <w:spacing w:line="540" w:lineRule="exact"/>
        <w:ind w:firstLine="643" w:firstLineChars="200"/>
        <w:outlineLvl w:val="2"/>
        <w:rPr>
          <w:rFonts w:eastAsia="仿宋"/>
          <w:b/>
          <w:sz w:val="32"/>
          <w:szCs w:val="32"/>
        </w:rPr>
      </w:pPr>
      <w:bookmarkStart w:id="54" w:name="_Toc15377212"/>
      <w:r>
        <w:rPr>
          <w:rFonts w:eastAsia="仿宋"/>
          <w:b/>
          <w:sz w:val="32"/>
          <w:szCs w:val="32"/>
        </w:rPr>
        <w:t>（三）一般公共预算财政拨款支出决算具体情况</w:t>
      </w:r>
      <w:bookmarkEnd w:id="54"/>
    </w:p>
    <w:p>
      <w:pPr>
        <w:spacing w:line="540" w:lineRule="exact"/>
        <w:ind w:firstLine="643" w:firstLineChars="200"/>
        <w:rPr>
          <w:rFonts w:eastAsia="仿宋"/>
          <w:sz w:val="32"/>
          <w:szCs w:val="32"/>
        </w:rPr>
      </w:pPr>
      <w:bookmarkStart w:id="55" w:name="_Toc19529"/>
      <w:bookmarkStart w:id="56" w:name="_Toc15378460"/>
      <w:bookmarkStart w:id="57" w:name="_Toc15377213"/>
      <w:bookmarkStart w:id="58" w:name="_Toc31347"/>
      <w:bookmarkStart w:id="59" w:name="_Toc15377444"/>
      <w:r>
        <w:rPr>
          <w:rFonts w:eastAsia="仿宋"/>
          <w:b/>
          <w:sz w:val="32"/>
          <w:szCs w:val="32"/>
        </w:rPr>
        <w:t>2022年一般公共预算支出决算数为1016.7万元</w:t>
      </w:r>
      <w:r>
        <w:rPr>
          <w:rFonts w:eastAsia="仿宋"/>
          <w:sz w:val="32"/>
          <w:szCs w:val="32"/>
        </w:rPr>
        <w:t>，</w:t>
      </w:r>
      <w:r>
        <w:rPr>
          <w:rStyle w:val="18"/>
          <w:rFonts w:eastAsia="仿宋"/>
          <w:bCs/>
          <w:sz w:val="32"/>
          <w:szCs w:val="32"/>
        </w:rPr>
        <w:t>完成预算100%。其中：</w:t>
      </w:r>
      <w:bookmarkEnd w:id="55"/>
    </w:p>
    <w:p>
      <w:pPr>
        <w:spacing w:line="540" w:lineRule="exact"/>
        <w:ind w:firstLine="643" w:firstLineChars="200"/>
        <w:rPr>
          <w:rStyle w:val="18"/>
          <w:rFonts w:eastAsia="仿宋"/>
          <w:b w:val="0"/>
          <w:bCs/>
          <w:color w:val="000000"/>
          <w:sz w:val="32"/>
          <w:szCs w:val="32"/>
        </w:rPr>
      </w:pPr>
      <w:r>
        <w:rPr>
          <w:rStyle w:val="18"/>
          <w:rFonts w:eastAsia="仿宋"/>
          <w:color w:val="000000"/>
          <w:sz w:val="32"/>
          <w:szCs w:val="32"/>
        </w:rPr>
        <w:t>1.社会保障和就业支出（类）行政事业单位养老支出（款）机关事业单位基本养老保险缴费支出（项）:</w:t>
      </w:r>
      <w:r>
        <w:rPr>
          <w:rStyle w:val="18"/>
          <w:rFonts w:eastAsia="仿宋"/>
          <w:b w:val="0"/>
          <w:bCs/>
          <w:color w:val="000000"/>
          <w:sz w:val="32"/>
          <w:szCs w:val="32"/>
        </w:rPr>
        <w:t xml:space="preserve"> 支出决算为51.17万元，完成预算100%。</w:t>
      </w:r>
    </w:p>
    <w:p>
      <w:pPr>
        <w:pStyle w:val="2"/>
        <w:spacing w:beforeLines="0" w:line="540" w:lineRule="exact"/>
        <w:ind w:firstLine="643" w:firstLineChars="200"/>
        <w:rPr>
          <w:rFonts w:ascii="Times New Roman"/>
        </w:rPr>
      </w:pPr>
      <w:r>
        <w:rPr>
          <w:rStyle w:val="18"/>
          <w:rFonts w:ascii="Times New Roman" w:eastAsia="仿宋"/>
          <w:bCs/>
          <w:color w:val="000000"/>
          <w:sz w:val="32"/>
          <w:szCs w:val="32"/>
        </w:rPr>
        <w:t>2.</w:t>
      </w:r>
      <w:r>
        <w:rPr>
          <w:rFonts w:ascii="Times New Roman" w:eastAsia="仿宋"/>
          <w:b/>
          <w:bCs/>
          <w:color w:val="000000"/>
          <w:sz w:val="32"/>
          <w:szCs w:val="32"/>
        </w:rPr>
        <w:t>卫生健康</w:t>
      </w:r>
      <w:r>
        <w:rPr>
          <w:rStyle w:val="18"/>
          <w:rFonts w:ascii="Times New Roman" w:eastAsia="仿宋"/>
          <w:bCs/>
          <w:color w:val="000000"/>
          <w:sz w:val="32"/>
          <w:szCs w:val="32"/>
        </w:rPr>
        <w:t>（类）行政事业单位医疗（款）其他行政事业单位医疗支出（项）:</w:t>
      </w:r>
      <w:r>
        <w:rPr>
          <w:rStyle w:val="18"/>
          <w:rFonts w:ascii="Times New Roman" w:eastAsia="仿宋"/>
          <w:b w:val="0"/>
          <w:bCs/>
          <w:color w:val="000000"/>
          <w:sz w:val="32"/>
          <w:szCs w:val="32"/>
        </w:rPr>
        <w:t>支出决算为3.67万元，完成预算100%。</w:t>
      </w:r>
    </w:p>
    <w:p>
      <w:pPr>
        <w:spacing w:line="540" w:lineRule="exact"/>
        <w:ind w:firstLine="643" w:firstLineChars="200"/>
        <w:rPr>
          <w:rFonts w:eastAsia="仿宋"/>
          <w:b/>
          <w:color w:val="000000"/>
          <w:sz w:val="32"/>
          <w:szCs w:val="32"/>
        </w:rPr>
      </w:pPr>
      <w:r>
        <w:rPr>
          <w:rStyle w:val="18"/>
          <w:rFonts w:eastAsia="仿宋"/>
          <w:bCs/>
          <w:color w:val="000000"/>
          <w:sz w:val="32"/>
          <w:szCs w:val="32"/>
        </w:rPr>
        <w:t>3.</w:t>
      </w:r>
      <w:r>
        <w:rPr>
          <w:rFonts w:eastAsia="仿宋"/>
          <w:b/>
          <w:bCs/>
          <w:color w:val="000000"/>
          <w:sz w:val="32"/>
          <w:szCs w:val="32"/>
        </w:rPr>
        <w:t>卫生健康</w:t>
      </w:r>
      <w:r>
        <w:rPr>
          <w:rStyle w:val="18"/>
          <w:rFonts w:eastAsia="仿宋"/>
          <w:bCs/>
          <w:color w:val="000000"/>
          <w:sz w:val="32"/>
          <w:szCs w:val="32"/>
        </w:rPr>
        <w:t>（类）行政事业单位医疗（款）事业单位医疗（项）:</w:t>
      </w:r>
      <w:r>
        <w:rPr>
          <w:rStyle w:val="18"/>
          <w:rFonts w:eastAsia="仿宋"/>
          <w:b w:val="0"/>
          <w:bCs/>
          <w:color w:val="000000"/>
          <w:sz w:val="32"/>
          <w:szCs w:val="32"/>
        </w:rPr>
        <w:t>支出决算为30.67万元，完成预算100%。</w:t>
      </w:r>
    </w:p>
    <w:p>
      <w:pPr>
        <w:spacing w:line="540" w:lineRule="exact"/>
        <w:ind w:firstLine="643" w:firstLineChars="200"/>
        <w:rPr>
          <w:rStyle w:val="18"/>
          <w:rFonts w:eastAsia="仿宋"/>
          <w:b w:val="0"/>
          <w:bCs/>
          <w:sz w:val="32"/>
          <w:szCs w:val="32"/>
        </w:rPr>
      </w:pPr>
      <w:r>
        <w:rPr>
          <w:rStyle w:val="18"/>
          <w:rFonts w:eastAsia="仿宋"/>
          <w:bCs/>
          <w:sz w:val="32"/>
          <w:szCs w:val="32"/>
        </w:rPr>
        <w:t>4.社会保障和就业（类）抚恤（款） 死亡抚恤（项）:</w:t>
      </w:r>
      <w:r>
        <w:rPr>
          <w:rStyle w:val="18"/>
          <w:rFonts w:eastAsia="仿宋"/>
          <w:b w:val="0"/>
          <w:bCs/>
          <w:sz w:val="32"/>
          <w:szCs w:val="32"/>
        </w:rPr>
        <w:t xml:space="preserve"> 支出决算为7.65万元，</w:t>
      </w:r>
    </w:p>
    <w:p>
      <w:pPr>
        <w:spacing w:line="540" w:lineRule="exact"/>
        <w:ind w:firstLine="643" w:firstLineChars="200"/>
        <w:rPr>
          <w:rStyle w:val="18"/>
          <w:rFonts w:eastAsia="仿宋"/>
          <w:b w:val="0"/>
          <w:bCs/>
          <w:sz w:val="32"/>
          <w:szCs w:val="32"/>
          <w:highlight w:val="yellow"/>
        </w:rPr>
      </w:pPr>
      <w:r>
        <w:rPr>
          <w:rStyle w:val="18"/>
          <w:rFonts w:eastAsia="仿宋"/>
          <w:bCs/>
          <w:sz w:val="32"/>
          <w:szCs w:val="32"/>
        </w:rPr>
        <w:t>5.住房保障支出（类）住房改革支出（款）住房公积金（项）:</w:t>
      </w:r>
      <w:r>
        <w:rPr>
          <w:rStyle w:val="18"/>
          <w:rFonts w:eastAsia="仿宋"/>
          <w:b w:val="0"/>
          <w:bCs/>
          <w:sz w:val="32"/>
          <w:szCs w:val="32"/>
        </w:rPr>
        <w:t>支出决算为65.61万元，完成预算100%。</w:t>
      </w:r>
    </w:p>
    <w:p>
      <w:pPr>
        <w:tabs>
          <w:tab w:val="right" w:pos="8306"/>
        </w:tabs>
        <w:spacing w:line="540" w:lineRule="exact"/>
        <w:ind w:firstLine="640"/>
        <w:outlineLvl w:val="1"/>
        <w:rPr>
          <w:rStyle w:val="30"/>
          <w:rFonts w:ascii="Times New Roman" w:hAnsi="Times New Roman" w:cs="Times New Roman"/>
        </w:rPr>
      </w:pPr>
      <w:bookmarkStart w:id="60" w:name="_Toc4633"/>
      <w:r>
        <w:rPr>
          <w:rFonts w:eastAsia="黑体"/>
          <w:sz w:val="32"/>
          <w:szCs w:val="32"/>
        </w:rPr>
        <w:t>六</w:t>
      </w:r>
      <w:r>
        <w:rPr>
          <w:rFonts w:eastAsia="黑体"/>
          <w:b/>
          <w:sz w:val="32"/>
          <w:szCs w:val="32"/>
        </w:rPr>
        <w:t>、一</w:t>
      </w:r>
      <w:r>
        <w:rPr>
          <w:rStyle w:val="30"/>
          <w:rFonts w:ascii="Times New Roman" w:hAnsi="Times New Roman" w:eastAsia="黑体" w:cs="Times New Roman"/>
          <w:b w:val="0"/>
        </w:rPr>
        <w:t>般公共预算财政拨款基本支出决算情况说明</w:t>
      </w:r>
      <w:bookmarkEnd w:id="60"/>
      <w:r>
        <w:rPr>
          <w:rStyle w:val="30"/>
          <w:rFonts w:ascii="Times New Roman" w:hAnsi="Times New Roman" w:eastAsia="黑体" w:cs="Times New Roman"/>
          <w:b w:val="0"/>
        </w:rPr>
        <w:tab/>
      </w:r>
    </w:p>
    <w:p>
      <w:pPr>
        <w:spacing w:line="540" w:lineRule="exact"/>
        <w:ind w:firstLine="645"/>
        <w:rPr>
          <w:rFonts w:eastAsia="仿宋"/>
          <w:sz w:val="32"/>
          <w:szCs w:val="32"/>
        </w:rPr>
      </w:pPr>
      <w:r>
        <w:rPr>
          <w:rFonts w:eastAsia="仿宋"/>
          <w:sz w:val="32"/>
          <w:szCs w:val="32"/>
        </w:rPr>
        <w:t>2022年一般公共预算财政拨款基本支出1016.7万元，其中：</w:t>
      </w:r>
    </w:p>
    <w:p>
      <w:pPr>
        <w:spacing w:line="540" w:lineRule="exact"/>
        <w:ind w:firstLine="645"/>
        <w:rPr>
          <w:rFonts w:eastAsia="仿宋"/>
          <w:sz w:val="32"/>
          <w:szCs w:val="32"/>
        </w:rPr>
      </w:pPr>
      <w:r>
        <w:rPr>
          <w:rFonts w:eastAsia="仿宋"/>
          <w:sz w:val="32"/>
          <w:szCs w:val="32"/>
        </w:rPr>
        <w:t>人员经费896.28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40" w:lineRule="exact"/>
        <w:ind w:firstLine="645"/>
        <w:rPr>
          <w:rFonts w:eastAsia="仿宋"/>
          <w:b/>
          <w:sz w:val="32"/>
          <w:szCs w:val="32"/>
        </w:rPr>
      </w:pPr>
      <w:r>
        <w:rPr>
          <w:rFonts w:eastAsia="仿宋"/>
          <w:sz w:val="32"/>
          <w:szCs w:val="32"/>
        </w:rPr>
        <w:t>公用经费120.41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40" w:lineRule="exact"/>
        <w:ind w:firstLine="640"/>
        <w:outlineLvl w:val="1"/>
        <w:rPr>
          <w:rStyle w:val="30"/>
          <w:rFonts w:ascii="Times New Roman" w:hAnsi="Times New Roman" w:eastAsia="黑体" w:cs="Times New Roman"/>
          <w:b w:val="0"/>
        </w:rPr>
      </w:pPr>
      <w:bookmarkStart w:id="61" w:name="_Toc4718"/>
      <w:r>
        <w:rPr>
          <w:rFonts w:eastAsia="黑体"/>
          <w:sz w:val="32"/>
          <w:szCs w:val="32"/>
        </w:rPr>
        <w:t>七、</w:t>
      </w:r>
      <w:r>
        <w:rPr>
          <w:rStyle w:val="30"/>
          <w:rFonts w:ascii="Times New Roman" w:hAnsi="Times New Roman" w:eastAsia="黑体" w:cs="Times New Roman"/>
          <w:b w:val="0"/>
        </w:rPr>
        <w:t>财政拨款</w:t>
      </w:r>
      <w:r>
        <w:rPr>
          <w:rStyle w:val="30"/>
          <w:rFonts w:ascii="Times New Roman" w:hAnsi="Times New Roman" w:eastAsia="黑体" w:cs="Times New Roman"/>
        </w:rPr>
        <w:t>“</w:t>
      </w:r>
      <w:r>
        <w:rPr>
          <w:rStyle w:val="30"/>
          <w:rFonts w:ascii="Times New Roman" w:hAnsi="Times New Roman" w:eastAsia="黑体" w:cs="Times New Roman"/>
          <w:b w:val="0"/>
        </w:rPr>
        <w:t>三公”经费支出决算情况说明</w:t>
      </w:r>
      <w:bookmarkEnd w:id="61"/>
    </w:p>
    <w:p>
      <w:pPr>
        <w:spacing w:line="540" w:lineRule="exact"/>
        <w:ind w:firstLine="640"/>
        <w:outlineLvl w:val="2"/>
        <w:rPr>
          <w:rFonts w:eastAsia="仿宋"/>
          <w:b/>
          <w:sz w:val="32"/>
          <w:szCs w:val="32"/>
        </w:rPr>
      </w:pPr>
      <w:r>
        <w:rPr>
          <w:rFonts w:eastAsia="仿宋"/>
          <w:b/>
          <w:sz w:val="32"/>
          <w:szCs w:val="32"/>
        </w:rPr>
        <w:t>（一）“三公”经费财政拨款支出决算总体情况说明</w:t>
      </w:r>
    </w:p>
    <w:p>
      <w:pPr>
        <w:spacing w:line="540" w:lineRule="exact"/>
        <w:ind w:firstLine="640"/>
        <w:rPr>
          <w:rFonts w:eastAsia="仿宋"/>
          <w:sz w:val="32"/>
          <w:szCs w:val="32"/>
        </w:rPr>
      </w:pPr>
      <w:r>
        <w:rPr>
          <w:rFonts w:eastAsia="仿宋"/>
          <w:sz w:val="32"/>
          <w:szCs w:val="32"/>
        </w:rPr>
        <w:t>2022年“三公”经费财政拨款支出决算为19.5万元，完成预算100%，较上年减少0万元，下降0%。</w:t>
      </w:r>
    </w:p>
    <w:p>
      <w:pPr>
        <w:spacing w:line="540" w:lineRule="exact"/>
        <w:ind w:firstLine="640"/>
        <w:outlineLvl w:val="2"/>
        <w:rPr>
          <w:rFonts w:eastAsia="仿宋"/>
          <w:b/>
          <w:sz w:val="32"/>
          <w:szCs w:val="32"/>
        </w:rPr>
      </w:pPr>
      <w:r>
        <w:rPr>
          <w:rFonts w:eastAsia="仿宋"/>
          <w:b/>
          <w:sz w:val="32"/>
          <w:szCs w:val="32"/>
        </w:rPr>
        <w:t>（二）“三公”经费财政拨款支出决算具体情况说明</w:t>
      </w:r>
    </w:p>
    <w:p>
      <w:pPr>
        <w:spacing w:line="540" w:lineRule="exact"/>
        <w:ind w:firstLine="640"/>
        <w:rPr>
          <w:rFonts w:eastAsia="仿宋"/>
          <w:sz w:val="32"/>
          <w:szCs w:val="32"/>
        </w:rPr>
      </w:pPr>
      <w:r>
        <w:rPr>
          <w:rFonts w:eastAsia="仿宋"/>
          <w:sz w:val="32"/>
          <w:szCs w:val="32"/>
        </w:rPr>
        <w:t>2022年“三公”经费财政拨款支出决算中，因公出国（境）费支出决算0万元，占0%；公务用车购置及运行维护费支出决算19.5万元，占100%；公务接待费支出决算0万元，占0%。具体情况如下：</w:t>
      </w:r>
    </w:p>
    <w:bookmarkEnd w:id="56"/>
    <w:bookmarkEnd w:id="57"/>
    <w:bookmarkEnd w:id="58"/>
    <w:bookmarkEnd w:id="59"/>
    <w:p>
      <w:pPr>
        <w:spacing w:line="540" w:lineRule="exact"/>
        <w:ind w:firstLine="640"/>
        <w:rPr>
          <w:rFonts w:eastAsia="仿宋_GB2312"/>
          <w:b/>
          <w:sz w:val="32"/>
          <w:szCs w:val="32"/>
        </w:rPr>
      </w:pPr>
      <w:r>
        <w:rPr>
          <w:rFonts w:eastAsia="仿宋_GB2312"/>
          <w:b/>
          <w:sz w:val="32"/>
          <w:szCs w:val="32"/>
        </w:rPr>
        <w:t>1.因公出国（境）经费支出</w:t>
      </w:r>
      <w:r>
        <w:rPr>
          <w:rFonts w:eastAsia="仿宋_GB2312"/>
          <w:sz w:val="32"/>
          <w:szCs w:val="32"/>
        </w:rPr>
        <w:t>0万元，</w:t>
      </w:r>
      <w:r>
        <w:rPr>
          <w:rStyle w:val="18"/>
          <w:rFonts w:eastAsia="仿宋"/>
          <w:b w:val="0"/>
          <w:bCs/>
          <w:sz w:val="32"/>
          <w:szCs w:val="32"/>
        </w:rPr>
        <w:t>完成预算0%。</w:t>
      </w:r>
    </w:p>
    <w:p>
      <w:pPr>
        <w:spacing w:line="540" w:lineRule="exact"/>
        <w:ind w:firstLine="640"/>
        <w:rPr>
          <w:rFonts w:eastAsia="仿宋_GB2312"/>
          <w:b/>
          <w:sz w:val="32"/>
          <w:szCs w:val="32"/>
        </w:rPr>
      </w:pPr>
      <w:r>
        <w:rPr>
          <w:rFonts w:eastAsia="仿宋_GB2312"/>
          <w:b/>
          <w:sz w:val="32"/>
          <w:szCs w:val="32"/>
        </w:rPr>
        <w:t>2.公务用车购置及运行维护费支出</w:t>
      </w:r>
      <w:r>
        <w:rPr>
          <w:rFonts w:eastAsia="仿宋_GB2312"/>
          <w:sz w:val="32"/>
          <w:szCs w:val="32"/>
        </w:rPr>
        <w:t>19.5万元,</w:t>
      </w:r>
      <w:r>
        <w:rPr>
          <w:rStyle w:val="18"/>
          <w:rFonts w:eastAsia="仿宋"/>
          <w:b w:val="0"/>
          <w:bCs/>
          <w:sz w:val="32"/>
          <w:szCs w:val="32"/>
        </w:rPr>
        <w:t>完成预算100%。</w:t>
      </w:r>
      <w:r>
        <w:rPr>
          <w:rFonts w:eastAsia="仿宋_GB2312"/>
          <w:sz w:val="32"/>
          <w:szCs w:val="32"/>
        </w:rPr>
        <w:t>公务用车购置及运行维护费支出决算比2021年无变动。</w:t>
      </w:r>
    </w:p>
    <w:p>
      <w:pPr>
        <w:spacing w:line="540" w:lineRule="exact"/>
        <w:ind w:firstLine="640" w:firstLineChars="20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0万元。</w:t>
      </w:r>
    </w:p>
    <w:p>
      <w:pPr>
        <w:widowControl/>
        <w:spacing w:line="540" w:lineRule="exact"/>
        <w:ind w:firstLine="643" w:firstLineChars="200"/>
        <w:jc w:val="left"/>
        <w:rPr>
          <w:rFonts w:eastAsia="仿宋_GB2312"/>
          <w:sz w:val="32"/>
          <w:szCs w:val="32"/>
        </w:rPr>
      </w:pPr>
      <w:r>
        <w:rPr>
          <w:rFonts w:eastAsia="仿宋_GB2312"/>
          <w:b/>
          <w:sz w:val="32"/>
          <w:szCs w:val="32"/>
        </w:rPr>
        <w:t>公务用车运行维护费支出</w:t>
      </w:r>
      <w:r>
        <w:rPr>
          <w:rFonts w:eastAsia="仿宋_GB2312"/>
          <w:sz w:val="32"/>
          <w:szCs w:val="32"/>
        </w:rPr>
        <w:t>19.5万元。</w:t>
      </w:r>
      <w:r>
        <w:rPr>
          <w:rFonts w:eastAsia="仿宋_GB2312"/>
          <w:color w:val="000000"/>
          <w:kern w:val="0"/>
          <w:sz w:val="31"/>
          <w:szCs w:val="31"/>
          <w:lang w:bidi="ar"/>
        </w:rPr>
        <w:t>主要用于对国省干线公路的日常督查、安全巡查及养护工作的指导等所需的公务用车燃料费、维修费、过路过桥费、保险费等支出。</w:t>
      </w:r>
    </w:p>
    <w:p>
      <w:pPr>
        <w:widowControl/>
        <w:spacing w:line="540" w:lineRule="exact"/>
        <w:ind w:firstLine="643" w:firstLineChars="200"/>
        <w:jc w:val="left"/>
        <w:rPr>
          <w:rFonts w:eastAsia="黑体"/>
          <w:sz w:val="32"/>
          <w:szCs w:val="32"/>
        </w:rPr>
      </w:pPr>
      <w:r>
        <w:rPr>
          <w:rFonts w:eastAsia="仿宋_GB2312"/>
          <w:b/>
          <w:sz w:val="32"/>
          <w:szCs w:val="32"/>
        </w:rPr>
        <w:t>3.公务接待费支出0</w:t>
      </w:r>
      <w:r>
        <w:rPr>
          <w:rFonts w:eastAsia="仿宋_GB2312"/>
          <w:sz w:val="32"/>
          <w:szCs w:val="32"/>
        </w:rPr>
        <w:t>万元，</w:t>
      </w:r>
      <w:r>
        <w:rPr>
          <w:rStyle w:val="18"/>
          <w:rFonts w:eastAsia="仿宋"/>
          <w:b w:val="0"/>
          <w:bCs/>
          <w:sz w:val="32"/>
          <w:szCs w:val="32"/>
        </w:rPr>
        <w:t>完成预算0%。</w:t>
      </w:r>
      <w:r>
        <w:rPr>
          <w:rFonts w:eastAsia="仿宋_GB2312"/>
          <w:sz w:val="32"/>
          <w:szCs w:val="32"/>
        </w:rPr>
        <w:t>公务接待费支出决算比2021年减少0万元，下降0%。</w:t>
      </w:r>
      <w:r>
        <w:rPr>
          <w:rFonts w:eastAsia="仿宋"/>
          <w:b/>
          <w:sz w:val="32"/>
          <w:szCs w:val="32"/>
        </w:rPr>
        <w:t>外事接待支出</w:t>
      </w:r>
      <w:r>
        <w:rPr>
          <w:rFonts w:eastAsia="仿宋"/>
          <w:sz w:val="32"/>
          <w:szCs w:val="32"/>
        </w:rPr>
        <w:t>0</w:t>
      </w:r>
      <w:r>
        <w:rPr>
          <w:rFonts w:eastAsia="仿宋_GB2312"/>
          <w:sz w:val="32"/>
          <w:szCs w:val="32"/>
        </w:rPr>
        <w:t>万元。</w:t>
      </w:r>
    </w:p>
    <w:p>
      <w:pPr>
        <w:spacing w:line="540" w:lineRule="exact"/>
        <w:ind w:firstLine="640"/>
        <w:outlineLvl w:val="1"/>
        <w:rPr>
          <w:rStyle w:val="30"/>
          <w:rFonts w:ascii="Times New Roman" w:hAnsi="Times New Roman" w:eastAsia="黑体" w:cs="Times New Roman"/>
        </w:rPr>
      </w:pPr>
      <w:bookmarkStart w:id="62" w:name="_Toc5905"/>
      <w:r>
        <w:rPr>
          <w:rFonts w:eastAsia="黑体"/>
          <w:sz w:val="32"/>
          <w:szCs w:val="32"/>
        </w:rPr>
        <w:t>八、</w:t>
      </w:r>
      <w:r>
        <w:rPr>
          <w:rStyle w:val="30"/>
          <w:rFonts w:ascii="Times New Roman" w:hAnsi="Times New Roman" w:eastAsia="黑体" w:cs="Times New Roman"/>
          <w:b w:val="0"/>
        </w:rPr>
        <w:t>政府性基金预算支出决算情况说明</w:t>
      </w:r>
      <w:bookmarkEnd w:id="62"/>
    </w:p>
    <w:p>
      <w:pPr>
        <w:spacing w:line="540" w:lineRule="exact"/>
        <w:ind w:firstLine="640"/>
        <w:rPr>
          <w:rFonts w:eastAsia="仿宋_GB2312"/>
          <w:sz w:val="32"/>
          <w:szCs w:val="32"/>
        </w:rPr>
      </w:pPr>
      <w:r>
        <w:rPr>
          <w:rFonts w:eastAsia="仿宋_GB2312"/>
          <w:sz w:val="32"/>
          <w:szCs w:val="32"/>
        </w:rPr>
        <w:t>2022年政府性基金预算财政拨款支出0万元。</w:t>
      </w:r>
    </w:p>
    <w:p>
      <w:pPr>
        <w:numPr>
          <w:ilvl w:val="0"/>
          <w:numId w:val="2"/>
        </w:numPr>
        <w:spacing w:line="540" w:lineRule="exact"/>
        <w:ind w:firstLine="640"/>
        <w:outlineLvl w:val="1"/>
        <w:rPr>
          <w:rStyle w:val="30"/>
          <w:rFonts w:ascii="Times New Roman" w:hAnsi="Times New Roman" w:eastAsia="黑体" w:cs="Times New Roman"/>
          <w:b w:val="0"/>
        </w:rPr>
      </w:pPr>
      <w:bookmarkStart w:id="63" w:name="_Toc15472"/>
      <w:r>
        <w:rPr>
          <w:rStyle w:val="30"/>
          <w:rFonts w:ascii="Times New Roman" w:hAnsi="Times New Roman" w:eastAsia="黑体" w:cs="Times New Roman"/>
          <w:b w:val="0"/>
        </w:rPr>
        <w:t>国有资本经营预算支出决算情况说明</w:t>
      </w:r>
      <w:bookmarkEnd w:id="63"/>
    </w:p>
    <w:p>
      <w:pPr>
        <w:spacing w:line="540" w:lineRule="exact"/>
        <w:ind w:firstLine="640"/>
        <w:rPr>
          <w:rFonts w:eastAsia="方正小标宋简体"/>
          <w:sz w:val="44"/>
          <w:szCs w:val="44"/>
        </w:rPr>
      </w:pPr>
      <w:r>
        <w:rPr>
          <w:rFonts w:eastAsia="仿宋_GB2312"/>
          <w:sz w:val="32"/>
          <w:szCs w:val="32"/>
        </w:rPr>
        <w:t>2022年国有资本经营预算财政拨款支出0万元。</w:t>
      </w:r>
    </w:p>
    <w:p>
      <w:pPr>
        <w:numPr>
          <w:ilvl w:val="0"/>
          <w:numId w:val="2"/>
        </w:numPr>
        <w:spacing w:line="540" w:lineRule="exact"/>
        <w:ind w:firstLine="640"/>
        <w:outlineLvl w:val="1"/>
        <w:rPr>
          <w:rStyle w:val="30"/>
          <w:rFonts w:ascii="Times New Roman" w:hAnsi="Times New Roman" w:eastAsia="黑体" w:cs="Times New Roman"/>
          <w:b w:val="0"/>
        </w:rPr>
      </w:pPr>
      <w:bookmarkStart w:id="64" w:name="_Toc9713"/>
      <w:r>
        <w:rPr>
          <w:rStyle w:val="30"/>
          <w:rFonts w:ascii="Times New Roman" w:hAnsi="Times New Roman" w:eastAsia="黑体" w:cs="Times New Roman"/>
          <w:b w:val="0"/>
        </w:rPr>
        <w:t>其他重要事项的情况说明</w:t>
      </w:r>
      <w:bookmarkEnd w:id="64"/>
    </w:p>
    <w:p>
      <w:pPr>
        <w:spacing w:line="540" w:lineRule="exact"/>
        <w:ind w:firstLine="643" w:firstLineChars="200"/>
        <w:outlineLvl w:val="2"/>
        <w:rPr>
          <w:rFonts w:eastAsia="仿宋"/>
          <w:sz w:val="32"/>
          <w:szCs w:val="32"/>
        </w:rPr>
      </w:pPr>
      <w:r>
        <w:rPr>
          <w:rFonts w:eastAsia="仿宋"/>
          <w:b/>
          <w:sz w:val="32"/>
          <w:szCs w:val="32"/>
        </w:rPr>
        <w:t>（一）机关运行经费支出情况</w:t>
      </w:r>
    </w:p>
    <w:p>
      <w:pPr>
        <w:spacing w:line="540" w:lineRule="exact"/>
        <w:ind w:firstLine="640" w:firstLineChars="200"/>
        <w:rPr>
          <w:rFonts w:eastAsia="仿宋"/>
          <w:color w:val="000000"/>
          <w:sz w:val="32"/>
          <w:szCs w:val="32"/>
        </w:rPr>
      </w:pPr>
      <w:r>
        <w:rPr>
          <w:rFonts w:eastAsia="仿宋_GB2312"/>
          <w:sz w:val="32"/>
          <w:szCs w:val="32"/>
        </w:rPr>
        <w:t>2022年，</w:t>
      </w:r>
      <w:r>
        <w:rPr>
          <w:rFonts w:eastAsia="仿宋"/>
          <w:color w:val="000000"/>
          <w:sz w:val="32"/>
          <w:szCs w:val="32"/>
        </w:rPr>
        <w:t>巴中市国道管理所为公益一类事业单位，按机关事务管理部门口径，不属于机关运行经费支出统计范围。2022年机关运行经费支出0万元，比2021年无变化。</w:t>
      </w:r>
    </w:p>
    <w:p>
      <w:pPr>
        <w:autoSpaceDE w:val="0"/>
        <w:autoSpaceDN w:val="0"/>
        <w:adjustRightInd w:val="0"/>
        <w:spacing w:line="540" w:lineRule="exact"/>
        <w:ind w:firstLine="643" w:firstLineChars="200"/>
        <w:jc w:val="left"/>
        <w:outlineLvl w:val="2"/>
        <w:rPr>
          <w:rFonts w:eastAsia="仿宋"/>
          <w:b/>
          <w:sz w:val="32"/>
          <w:szCs w:val="32"/>
        </w:rPr>
      </w:pPr>
      <w:r>
        <w:rPr>
          <w:rFonts w:eastAsia="仿宋"/>
          <w:b/>
          <w:sz w:val="32"/>
          <w:szCs w:val="32"/>
        </w:rPr>
        <w:t>（二）政府采购支出情况</w:t>
      </w:r>
    </w:p>
    <w:p>
      <w:pPr>
        <w:spacing w:line="540" w:lineRule="exact"/>
        <w:ind w:firstLine="640" w:firstLineChars="200"/>
        <w:rPr>
          <w:rFonts w:eastAsia="仿宋"/>
          <w:color w:val="000000"/>
          <w:sz w:val="32"/>
          <w:szCs w:val="32"/>
        </w:rPr>
      </w:pPr>
      <w:r>
        <w:rPr>
          <w:rFonts w:eastAsia="仿宋_GB2312"/>
          <w:sz w:val="32"/>
          <w:szCs w:val="32"/>
        </w:rPr>
        <w:t>2022年，</w:t>
      </w:r>
      <w:r>
        <w:rPr>
          <w:rFonts w:eastAsia="仿宋"/>
          <w:color w:val="000000"/>
          <w:sz w:val="32"/>
          <w:szCs w:val="32"/>
        </w:rPr>
        <w:t>巴中市国道管理所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autoSpaceDE w:val="0"/>
        <w:autoSpaceDN w:val="0"/>
        <w:adjustRightInd w:val="0"/>
        <w:spacing w:line="540" w:lineRule="exact"/>
        <w:ind w:firstLine="643" w:firstLineChars="200"/>
        <w:jc w:val="left"/>
        <w:outlineLvl w:val="2"/>
        <w:rPr>
          <w:rFonts w:eastAsia="仿宋"/>
          <w:b/>
          <w:sz w:val="32"/>
          <w:szCs w:val="32"/>
        </w:rPr>
      </w:pPr>
      <w:r>
        <w:rPr>
          <w:rFonts w:eastAsia="仿宋"/>
          <w:b/>
          <w:sz w:val="32"/>
          <w:szCs w:val="32"/>
        </w:rPr>
        <w:t>（三）国有资产占有使用情况</w:t>
      </w:r>
    </w:p>
    <w:p>
      <w:pPr>
        <w:autoSpaceDE w:val="0"/>
        <w:autoSpaceDN w:val="0"/>
        <w:adjustRightInd w:val="0"/>
        <w:spacing w:line="540" w:lineRule="exact"/>
        <w:ind w:firstLine="640" w:firstLineChars="200"/>
        <w:jc w:val="left"/>
        <w:rPr>
          <w:rFonts w:eastAsia="仿宋"/>
          <w:b/>
          <w:sz w:val="32"/>
          <w:szCs w:val="32"/>
        </w:rPr>
      </w:pPr>
      <w:r>
        <w:rPr>
          <w:rFonts w:eastAsia="仿宋"/>
          <w:color w:val="000000"/>
          <w:sz w:val="32"/>
          <w:szCs w:val="32"/>
        </w:rPr>
        <w:t>截至2022年12月31日，巴中市国道管理所共有车辆5辆，其中：机关办公用车2辆、路政执法用车1辆、公路养护用车2辆。单价50万元以上通用设备0台（套），单价100万元以上专用设备0台（套）。</w:t>
      </w:r>
    </w:p>
    <w:p>
      <w:pPr>
        <w:autoSpaceDE w:val="0"/>
        <w:autoSpaceDN w:val="0"/>
        <w:adjustRightInd w:val="0"/>
        <w:spacing w:line="540" w:lineRule="exact"/>
        <w:ind w:firstLine="643" w:firstLineChars="200"/>
        <w:jc w:val="left"/>
        <w:outlineLvl w:val="2"/>
        <w:rPr>
          <w:rFonts w:eastAsia="仿宋"/>
          <w:b/>
          <w:sz w:val="32"/>
          <w:szCs w:val="32"/>
        </w:rPr>
      </w:pPr>
      <w:r>
        <w:rPr>
          <w:rFonts w:eastAsia="仿宋"/>
          <w:b/>
          <w:sz w:val="32"/>
          <w:szCs w:val="32"/>
        </w:rPr>
        <w:t>（四）预算绩效管理情况</w:t>
      </w:r>
    </w:p>
    <w:p>
      <w:pPr>
        <w:spacing w:line="540" w:lineRule="exact"/>
        <w:ind w:firstLine="640" w:firstLineChars="200"/>
        <w:rPr>
          <w:highlight w:val="yellow"/>
        </w:rPr>
      </w:pPr>
      <w:r>
        <w:rPr>
          <w:rFonts w:eastAsia="仿宋"/>
          <w:color w:val="000000"/>
          <w:sz w:val="32"/>
          <w:szCs w:val="32"/>
        </w:rPr>
        <w:t>根据预算绩效管理要求，本单位在年初预算编制阶段，组织对党建工作经费等项目开展了预算事前绩效评估，对15个项目编制了绩效目标，预算执行过程中，选取10个项目开展绩效监控，年终执行完毕后，对10个项目开展了绩效目标完成情况自评。</w:t>
      </w:r>
      <w:r>
        <w:rPr>
          <w:rFonts w:eastAsia="仿宋_GB2312"/>
          <w:sz w:val="32"/>
          <w:szCs w:val="32"/>
        </w:rPr>
        <w:t>绩效自评表详见</w:t>
      </w:r>
      <w:r>
        <w:rPr>
          <w:sz w:val="32"/>
          <w:szCs w:val="32"/>
        </w:rPr>
        <w:t>第四部分</w:t>
      </w:r>
      <w:r>
        <w:rPr>
          <w:rFonts w:eastAsia="仿宋_GB2312"/>
          <w:sz w:val="32"/>
          <w:szCs w:val="32"/>
        </w:rPr>
        <w:t>附件。</w:t>
      </w:r>
    </w:p>
    <w:p>
      <w:pPr>
        <w:widowControl/>
        <w:spacing w:line="540" w:lineRule="exact"/>
        <w:jc w:val="left"/>
        <w:rPr>
          <w:rFonts w:eastAsia="仿宋_GB2312"/>
          <w:b/>
          <w:sz w:val="32"/>
          <w:szCs w:val="32"/>
        </w:rPr>
      </w:pPr>
      <w:r>
        <w:rPr>
          <w:rFonts w:eastAsia="仿宋_GB2312"/>
          <w:b/>
          <w:sz w:val="32"/>
          <w:szCs w:val="32"/>
        </w:rPr>
        <w:br w:type="page"/>
      </w:r>
    </w:p>
    <w:p>
      <w:pPr>
        <w:numPr>
          <w:ilvl w:val="0"/>
          <w:numId w:val="3"/>
        </w:numPr>
        <w:spacing w:line="540" w:lineRule="exact"/>
        <w:ind w:firstLine="660" w:firstLineChars="150"/>
        <w:jc w:val="center"/>
        <w:outlineLvl w:val="0"/>
        <w:rPr>
          <w:rStyle w:val="29"/>
          <w:rFonts w:eastAsia="黑体"/>
          <w:b w:val="0"/>
        </w:rPr>
      </w:pPr>
      <w:bookmarkStart w:id="65" w:name="_Toc16963"/>
      <w:r>
        <w:rPr>
          <w:rFonts w:eastAsia="黑体"/>
          <w:sz w:val="44"/>
          <w:szCs w:val="44"/>
        </w:rPr>
        <w:t>名</w:t>
      </w:r>
      <w:r>
        <w:rPr>
          <w:rStyle w:val="29"/>
          <w:rFonts w:eastAsia="黑体"/>
          <w:b w:val="0"/>
        </w:rPr>
        <w:t>词解释</w:t>
      </w:r>
      <w:bookmarkEnd w:id="65"/>
    </w:p>
    <w:p>
      <w:pPr>
        <w:spacing w:line="540" w:lineRule="exact"/>
        <w:jc w:val="left"/>
        <w:rPr>
          <w:b/>
          <w:sz w:val="44"/>
          <w:szCs w:val="44"/>
        </w:rPr>
      </w:pPr>
    </w:p>
    <w:p>
      <w:pPr>
        <w:spacing w:line="540" w:lineRule="exact"/>
        <w:ind w:firstLine="640"/>
        <w:rPr>
          <w:rFonts w:eastAsia="仿宋"/>
          <w:sz w:val="32"/>
          <w:szCs w:val="32"/>
        </w:rPr>
      </w:pPr>
      <w:r>
        <w:rPr>
          <w:rFonts w:eastAsia="仿宋"/>
          <w:sz w:val="32"/>
          <w:szCs w:val="32"/>
        </w:rPr>
        <w:t xml:space="preserve">1.财政拨款收入：指单位从同级财政部门取得的财政预算资金。 </w:t>
      </w:r>
    </w:p>
    <w:p>
      <w:pPr>
        <w:spacing w:line="540" w:lineRule="exact"/>
        <w:ind w:firstLine="640"/>
        <w:rPr>
          <w:rFonts w:eastAsia="仿宋"/>
          <w:sz w:val="32"/>
          <w:szCs w:val="32"/>
        </w:rPr>
      </w:pPr>
      <w:r>
        <w:rPr>
          <w:rFonts w:eastAsia="仿宋"/>
          <w:sz w:val="32"/>
          <w:szCs w:val="32"/>
        </w:rPr>
        <w:t xml:space="preserve">2.年初结转和结余：指以前年度尚未完成、结转到本年按有关规定继续使用的资金。 </w:t>
      </w:r>
    </w:p>
    <w:p>
      <w:pPr>
        <w:spacing w:line="540" w:lineRule="exact"/>
        <w:ind w:firstLine="640"/>
        <w:rPr>
          <w:rFonts w:eastAsia="仿宋"/>
          <w:sz w:val="32"/>
          <w:szCs w:val="32"/>
        </w:rPr>
      </w:pPr>
      <w:r>
        <w:rPr>
          <w:rFonts w:eastAsia="仿宋"/>
          <w:sz w:val="32"/>
          <w:szCs w:val="32"/>
        </w:rPr>
        <w:t>3.结余分配：指事业单位按照事业单位会计制度的规定从非财政补助结余中分配的事业基金和职工福利基金等。</w:t>
      </w:r>
    </w:p>
    <w:p>
      <w:pPr>
        <w:spacing w:line="540" w:lineRule="exact"/>
        <w:ind w:firstLine="640"/>
        <w:rPr>
          <w:rFonts w:eastAsia="仿宋"/>
          <w:sz w:val="32"/>
          <w:szCs w:val="32"/>
        </w:rPr>
      </w:pPr>
      <w:r>
        <w:rPr>
          <w:rFonts w:eastAsia="仿宋"/>
          <w:sz w:val="32"/>
          <w:szCs w:val="32"/>
        </w:rPr>
        <w:t>4.年末结转和结余：指单位按有关规定结转到下年或以后年度继续使用的资金。</w:t>
      </w:r>
    </w:p>
    <w:p>
      <w:pPr>
        <w:spacing w:line="540" w:lineRule="exact"/>
        <w:ind w:firstLine="640"/>
        <w:rPr>
          <w:rFonts w:eastAsia="仿宋"/>
          <w:sz w:val="32"/>
          <w:szCs w:val="32"/>
        </w:rPr>
      </w:pPr>
      <w:r>
        <w:rPr>
          <w:rFonts w:eastAsia="仿宋"/>
          <w:sz w:val="32"/>
          <w:szCs w:val="32"/>
        </w:rPr>
        <w:t>5.社会保障和就业（类）行政事业单位离退休（款） 机关事业单位基本养老保险缴费支出（项）:指单位实施养老保险制度由单位缴纳的基本养老保险费支出。</w:t>
      </w:r>
    </w:p>
    <w:p>
      <w:pPr>
        <w:spacing w:line="540" w:lineRule="exact"/>
        <w:ind w:firstLine="640"/>
        <w:rPr>
          <w:rFonts w:eastAsia="仿宋"/>
          <w:sz w:val="32"/>
          <w:szCs w:val="32"/>
        </w:rPr>
      </w:pPr>
      <w:r>
        <w:rPr>
          <w:rFonts w:eastAsia="仿宋"/>
          <w:sz w:val="32"/>
          <w:szCs w:val="32"/>
        </w:rPr>
        <w:t>6.社会保障和就业（类）行政事业单位离退休（款） 机关事业单位职业年金缴费支出（项）:指单位实施养老保险制度由单位缴纳的职业年金支出。</w:t>
      </w:r>
    </w:p>
    <w:p>
      <w:pPr>
        <w:spacing w:line="540" w:lineRule="exact"/>
        <w:ind w:firstLine="640"/>
        <w:rPr>
          <w:rFonts w:eastAsia="仿宋"/>
          <w:sz w:val="32"/>
          <w:szCs w:val="32"/>
        </w:rPr>
      </w:pPr>
      <w:r>
        <w:rPr>
          <w:rFonts w:eastAsia="仿宋"/>
          <w:sz w:val="32"/>
          <w:szCs w:val="32"/>
        </w:rPr>
        <w:t>7.社会保障和就业（类）行政事业单位离退休（款） 其他行政事业单位离退休支出（项）:指单位实施养老保险制度单位离退休人员离退休补贴。</w:t>
      </w:r>
    </w:p>
    <w:p>
      <w:pPr>
        <w:spacing w:line="540" w:lineRule="exact"/>
        <w:ind w:firstLine="640"/>
        <w:rPr>
          <w:rFonts w:eastAsia="仿宋"/>
          <w:sz w:val="32"/>
          <w:szCs w:val="32"/>
        </w:rPr>
      </w:pPr>
      <w:r>
        <w:rPr>
          <w:rFonts w:eastAsia="仿宋"/>
          <w:sz w:val="32"/>
          <w:szCs w:val="32"/>
        </w:rPr>
        <w:t xml:space="preserve">8.社会保障和就业（类）抚恤（款）死亡抚恤（项）:指按规定用于烈士和牺牲、病故人员家属的定期抚恤金。 </w:t>
      </w:r>
    </w:p>
    <w:p>
      <w:pPr>
        <w:spacing w:line="540" w:lineRule="exact"/>
        <w:ind w:firstLine="640"/>
        <w:rPr>
          <w:rFonts w:eastAsia="仿宋"/>
          <w:sz w:val="32"/>
          <w:szCs w:val="32"/>
        </w:rPr>
      </w:pPr>
      <w:r>
        <w:rPr>
          <w:rFonts w:eastAsia="仿宋"/>
          <w:sz w:val="32"/>
          <w:szCs w:val="32"/>
        </w:rPr>
        <w:t>9.卫生健康支出（类）行政事业单位医疗（款） 行政单位医疗（项）:指财政部门安排的行政单位（含参公事业单位）基本医疗保险缴费经费。</w:t>
      </w:r>
    </w:p>
    <w:p>
      <w:pPr>
        <w:spacing w:line="540" w:lineRule="exact"/>
        <w:ind w:firstLine="640"/>
        <w:rPr>
          <w:rFonts w:eastAsia="仿宋"/>
          <w:sz w:val="32"/>
          <w:szCs w:val="32"/>
        </w:rPr>
      </w:pPr>
      <w:r>
        <w:rPr>
          <w:rFonts w:eastAsia="仿宋"/>
          <w:sz w:val="32"/>
          <w:szCs w:val="32"/>
        </w:rPr>
        <w:t>10.卫生健康支出（类）行政事业单位医疗（款） 事业单位医疗（项）:指财政部门安排的事业单位基本医疗保险缴费经费。</w:t>
      </w:r>
    </w:p>
    <w:p>
      <w:pPr>
        <w:spacing w:line="540" w:lineRule="exact"/>
        <w:ind w:firstLine="640"/>
        <w:rPr>
          <w:rFonts w:eastAsia="仿宋"/>
          <w:sz w:val="32"/>
          <w:szCs w:val="32"/>
        </w:rPr>
      </w:pPr>
      <w:r>
        <w:rPr>
          <w:rFonts w:eastAsia="仿宋"/>
          <w:sz w:val="32"/>
          <w:szCs w:val="32"/>
        </w:rPr>
        <w:t>11.卫生健康支出（类）行政事业单位医疗（款） 公务员医疗补助（项）:指财政部门安排的公务员医疗补助经费。</w:t>
      </w:r>
    </w:p>
    <w:p>
      <w:pPr>
        <w:spacing w:line="540" w:lineRule="exact"/>
        <w:ind w:firstLine="640"/>
        <w:rPr>
          <w:rFonts w:eastAsia="仿宋"/>
          <w:sz w:val="32"/>
          <w:szCs w:val="32"/>
        </w:rPr>
      </w:pPr>
      <w:r>
        <w:rPr>
          <w:rFonts w:eastAsia="仿宋"/>
          <w:sz w:val="32"/>
          <w:szCs w:val="32"/>
        </w:rPr>
        <w:t>12.交通运输支出（类）公路水路运输（款）公路养护（项）:指公路养护支出。</w:t>
      </w:r>
    </w:p>
    <w:p>
      <w:pPr>
        <w:spacing w:line="540" w:lineRule="exact"/>
        <w:ind w:firstLine="640"/>
        <w:rPr>
          <w:rFonts w:eastAsia="仿宋"/>
          <w:sz w:val="32"/>
          <w:szCs w:val="32"/>
        </w:rPr>
      </w:pPr>
      <w:r>
        <w:rPr>
          <w:rFonts w:eastAsia="仿宋"/>
          <w:sz w:val="32"/>
          <w:szCs w:val="32"/>
        </w:rPr>
        <w:t>13.交通运输支出（类）公路水路运输（款）公路运输管理（项）:指公路运输管理支出和公路路政管理支出。</w:t>
      </w:r>
    </w:p>
    <w:p>
      <w:pPr>
        <w:spacing w:line="540" w:lineRule="exact"/>
        <w:ind w:firstLine="640"/>
        <w:rPr>
          <w:rFonts w:eastAsia="仿宋"/>
          <w:sz w:val="32"/>
          <w:szCs w:val="32"/>
        </w:rPr>
      </w:pPr>
      <w:r>
        <w:rPr>
          <w:rFonts w:eastAsia="仿宋"/>
          <w:sz w:val="32"/>
          <w:szCs w:val="32"/>
        </w:rPr>
        <w:t>14.交通运输支出（类）公路水路运输（款）取消政府还贷二级公路收费专项支出（项）:指按《国务院关于实施成品油价格和税费改革的通知》安排的专项用于逐年有序解决已经取消的政府还贷二级收费公路债务偿还、养护管理和公路建设等方面的支出。</w:t>
      </w:r>
    </w:p>
    <w:p>
      <w:pPr>
        <w:spacing w:line="540" w:lineRule="exact"/>
        <w:ind w:firstLine="640"/>
        <w:rPr>
          <w:rFonts w:eastAsia="仿宋"/>
          <w:sz w:val="32"/>
          <w:szCs w:val="32"/>
        </w:rPr>
      </w:pPr>
      <w:r>
        <w:rPr>
          <w:rFonts w:eastAsia="仿宋"/>
          <w:sz w:val="32"/>
          <w:szCs w:val="32"/>
        </w:rPr>
        <w:t>15.交通运输支出（类）车辆购置税支出（款）车辆购置税用于公路等基础设施建设支出（项）:指车辆购置税收入安排用于公路等基础设施建设的支出。</w:t>
      </w:r>
    </w:p>
    <w:p>
      <w:pPr>
        <w:spacing w:line="540" w:lineRule="exact"/>
        <w:ind w:firstLine="640"/>
        <w:rPr>
          <w:rFonts w:eastAsia="仿宋"/>
          <w:sz w:val="32"/>
          <w:szCs w:val="32"/>
        </w:rPr>
      </w:pPr>
      <w:r>
        <w:rPr>
          <w:rFonts w:eastAsia="仿宋"/>
          <w:sz w:val="32"/>
          <w:szCs w:val="32"/>
        </w:rPr>
        <w:t>16.住房保障支出（类）住房改革支出（款）住房公积金（项）:指单位按规定的基本工资和津贴补贴以及规定比例为职工缴纳的住房公积金。</w:t>
      </w:r>
    </w:p>
    <w:p>
      <w:pPr>
        <w:spacing w:line="540" w:lineRule="exact"/>
        <w:ind w:firstLine="640"/>
        <w:rPr>
          <w:rFonts w:eastAsia="仿宋"/>
          <w:sz w:val="32"/>
          <w:szCs w:val="32"/>
        </w:rPr>
      </w:pPr>
      <w:r>
        <w:rPr>
          <w:rFonts w:eastAsia="仿宋"/>
          <w:sz w:val="32"/>
          <w:szCs w:val="32"/>
        </w:rPr>
        <w:t>17.其他支出（类）其他支出（款）其他支出（项）:指其他不能划分到具体功能科目的支出项目。</w:t>
      </w:r>
    </w:p>
    <w:p>
      <w:pPr>
        <w:spacing w:line="540" w:lineRule="exact"/>
        <w:ind w:firstLine="640"/>
        <w:rPr>
          <w:rFonts w:eastAsia="仿宋"/>
          <w:sz w:val="32"/>
          <w:szCs w:val="32"/>
        </w:rPr>
      </w:pPr>
      <w:r>
        <w:rPr>
          <w:rFonts w:eastAsia="仿宋"/>
          <w:sz w:val="32"/>
          <w:szCs w:val="32"/>
        </w:rPr>
        <w:t>18.基本支出：指为保障机构正常运转、完成日常工作任务而发生的人员支出和公用支出。</w:t>
      </w:r>
    </w:p>
    <w:p>
      <w:pPr>
        <w:spacing w:line="540" w:lineRule="exact"/>
        <w:ind w:firstLine="640"/>
        <w:rPr>
          <w:rFonts w:eastAsia="仿宋"/>
          <w:sz w:val="32"/>
          <w:szCs w:val="32"/>
        </w:rPr>
      </w:pPr>
      <w:r>
        <w:rPr>
          <w:rFonts w:eastAsia="仿宋"/>
          <w:sz w:val="32"/>
          <w:szCs w:val="32"/>
        </w:rPr>
        <w:t xml:space="preserve">19.项目支出：指在基本支出之外为完成特定行政任务和事业发展目标所发生的支出。 </w:t>
      </w:r>
    </w:p>
    <w:p>
      <w:pPr>
        <w:spacing w:line="540" w:lineRule="exact"/>
        <w:ind w:firstLine="640"/>
        <w:rPr>
          <w:rFonts w:eastAsia="仿宋"/>
          <w:sz w:val="32"/>
          <w:szCs w:val="32"/>
        </w:rPr>
      </w:pPr>
      <w:r>
        <w:rPr>
          <w:rFonts w:eastAsia="仿宋"/>
          <w:sz w:val="32"/>
          <w:szCs w:val="32"/>
        </w:rPr>
        <w:t>20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40" w:lineRule="exact"/>
        <w:ind w:firstLine="640"/>
        <w:rPr>
          <w:rFonts w:eastAsia="仿宋"/>
          <w:sz w:val="32"/>
          <w:szCs w:val="32"/>
        </w:rPr>
      </w:pPr>
      <w:r>
        <w:rPr>
          <w:rFonts w:eastAsia="仿宋"/>
          <w:sz w:val="32"/>
          <w:szCs w:val="32"/>
        </w:rPr>
        <w:t>21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40" w:lineRule="exact"/>
        <w:jc w:val="left"/>
      </w:pPr>
      <w:r>
        <w:rPr>
          <w:rFonts w:eastAsia="仿宋"/>
          <w:color w:val="000000"/>
          <w:kern w:val="0"/>
          <w:sz w:val="31"/>
          <w:szCs w:val="31"/>
          <w:lang w:bidi="ar"/>
        </w:rPr>
        <w:t xml:space="preserve"> </w:t>
      </w:r>
    </w:p>
    <w:p>
      <w:pPr>
        <w:widowControl/>
        <w:jc w:val="left"/>
      </w:pPr>
      <w:r>
        <w:rPr>
          <w:rFonts w:eastAsia="仿宋"/>
          <w:color w:val="000000"/>
          <w:kern w:val="0"/>
          <w:sz w:val="31"/>
          <w:szCs w:val="31"/>
          <w:lang w:bidi="ar"/>
        </w:rPr>
        <w:t xml:space="preserve"> </w:t>
      </w:r>
    </w:p>
    <w:p>
      <w:pPr>
        <w:widowControl/>
        <w:ind w:firstLine="620" w:firstLineChars="200"/>
        <w:jc w:val="left"/>
      </w:pPr>
      <w:r>
        <w:rPr>
          <w:rFonts w:eastAsia="仿宋_GB2312"/>
          <w:color w:val="000000"/>
          <w:kern w:val="0"/>
          <w:sz w:val="31"/>
          <w:szCs w:val="31"/>
          <w:lang w:bidi="ar"/>
        </w:rPr>
        <w:t xml:space="preserve"> </w:t>
      </w:r>
    </w:p>
    <w:p>
      <w:pPr>
        <w:widowControl/>
        <w:jc w:val="left"/>
      </w:pPr>
      <w:r>
        <w:rPr>
          <w:rFonts w:eastAsia="仿宋_GB2312"/>
          <w:color w:val="000000"/>
          <w:kern w:val="0"/>
          <w:sz w:val="31"/>
          <w:szCs w:val="31"/>
          <w:lang w:bidi="ar"/>
        </w:rPr>
        <w:t xml:space="preserve"> </w:t>
      </w:r>
    </w:p>
    <w:p>
      <w:pPr>
        <w:widowControl/>
        <w:ind w:firstLine="643" w:firstLineChars="200"/>
        <w:jc w:val="left"/>
        <w:rPr>
          <w:rFonts w:eastAsia="仿宋_GB2312"/>
          <w:b/>
          <w:sz w:val="32"/>
          <w:szCs w:val="32"/>
        </w:rPr>
      </w:pPr>
      <w:r>
        <w:rPr>
          <w:rFonts w:eastAsia="仿宋_GB2312"/>
          <w:b/>
          <w:sz w:val="32"/>
          <w:szCs w:val="32"/>
        </w:rPr>
        <w:br w:type="page"/>
      </w:r>
    </w:p>
    <w:p>
      <w:pPr>
        <w:spacing w:line="600" w:lineRule="exact"/>
        <w:ind w:firstLine="2640" w:firstLineChars="600"/>
        <w:outlineLvl w:val="0"/>
        <w:rPr>
          <w:rStyle w:val="29"/>
          <w:rFonts w:eastAsia="黑体"/>
          <w:b w:val="0"/>
        </w:rPr>
      </w:pPr>
      <w:bookmarkStart w:id="66" w:name="_Toc15396614"/>
      <w:bookmarkStart w:id="67" w:name="_Toc29114"/>
      <w:bookmarkStart w:id="68" w:name="_Toc28035"/>
      <w:bookmarkStart w:id="69" w:name="_Toc15377226"/>
      <w:r>
        <w:rPr>
          <w:rFonts w:eastAsia="黑体"/>
          <w:sz w:val="44"/>
          <w:szCs w:val="44"/>
        </w:rPr>
        <w:t>第</w:t>
      </w:r>
      <w:r>
        <w:rPr>
          <w:rStyle w:val="29"/>
          <w:rFonts w:eastAsia="黑体"/>
          <w:b w:val="0"/>
        </w:rPr>
        <w:t>四部分 附件</w:t>
      </w:r>
      <w:bookmarkEnd w:id="66"/>
      <w:bookmarkEnd w:id="67"/>
      <w:bookmarkEnd w:id="68"/>
    </w:p>
    <w:p>
      <w:pPr>
        <w:spacing w:line="572" w:lineRule="exact"/>
        <w:jc w:val="left"/>
        <w:rPr>
          <w:rFonts w:ascii="方正小标宋简体" w:hAnsi="方正小标宋简体" w:eastAsia="方正小标宋简体" w:cs="方正小标宋简体"/>
          <w:sz w:val="44"/>
          <w:szCs w:val="44"/>
        </w:rPr>
      </w:pPr>
    </w:p>
    <w:p>
      <w:pPr>
        <w:widowControl/>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bidi="ar"/>
        </w:rPr>
        <w:t>巴中市国道管理所</w:t>
      </w:r>
    </w:p>
    <w:p>
      <w:pPr>
        <w:widowControl/>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bidi="ar"/>
        </w:rPr>
        <w:t>2022 年度项目支出绩效自评报告</w:t>
      </w:r>
    </w:p>
    <w:p>
      <w:pPr>
        <w:widowControl/>
        <w:adjustRightInd w:val="0"/>
        <w:snapToGrid w:val="0"/>
        <w:spacing w:line="540" w:lineRule="exact"/>
        <w:ind w:firstLine="640" w:firstLineChars="200"/>
        <w:contextualSpacing/>
        <w:jc w:val="left"/>
        <w:rPr>
          <w:rFonts w:eastAsia="方正仿宋简体"/>
          <w:color w:val="333333"/>
          <w:sz w:val="32"/>
          <w:szCs w:val="32"/>
          <w:shd w:val="clear" w:color="auto" w:fill="FFFFFF"/>
        </w:rPr>
      </w:pPr>
      <w:r>
        <w:rPr>
          <w:rFonts w:eastAsia="方正仿宋简体"/>
          <w:color w:val="333333"/>
          <w:sz w:val="32"/>
          <w:szCs w:val="32"/>
          <w:shd w:val="clear" w:color="auto" w:fill="FFFFFF"/>
        </w:rPr>
        <w:t xml:space="preserve">根据《关于开展2023年财政支出绩效评价工作的通知》（巴财监绩〔2023〕4号）文件要求，我所组织专人按照规定的绩效考评指标及办法，对2022年项目支出开展了绩效自评。现将有关情况报告如下。 </w:t>
      </w:r>
    </w:p>
    <w:p>
      <w:pPr>
        <w:widowControl/>
        <w:spacing w:line="540" w:lineRule="exact"/>
        <w:jc w:val="left"/>
      </w:pPr>
      <w:r>
        <w:rPr>
          <w:rFonts w:eastAsia="黑体"/>
          <w:color w:val="000000"/>
          <w:kern w:val="0"/>
          <w:sz w:val="31"/>
          <w:szCs w:val="31"/>
          <w:lang w:bidi="ar"/>
        </w:rPr>
        <w:t xml:space="preserve">一、基本情况 </w:t>
      </w:r>
    </w:p>
    <w:p>
      <w:pPr>
        <w:spacing w:line="540" w:lineRule="exact"/>
        <w:ind w:firstLine="622" w:firstLineChars="200"/>
        <w:rPr>
          <w:rFonts w:eastAsia="仿宋"/>
        </w:rPr>
      </w:pPr>
      <w:r>
        <w:rPr>
          <w:rFonts w:eastAsia="楷体"/>
          <w:b/>
          <w:bCs/>
          <w:color w:val="000000"/>
          <w:kern w:val="0"/>
          <w:sz w:val="31"/>
          <w:szCs w:val="31"/>
          <w:lang w:bidi="ar"/>
        </w:rPr>
        <w:t>（一）单位主要职责。</w:t>
      </w:r>
      <w:r>
        <w:rPr>
          <w:rFonts w:eastAsia="方正仿宋简体"/>
          <w:color w:val="333333"/>
          <w:sz w:val="32"/>
          <w:szCs w:val="32"/>
          <w:shd w:val="clear" w:color="auto" w:fill="FFFFFF"/>
        </w:rPr>
        <w:t>指导全市普通国道公路养护管理工作。制订国道公路养护管理相关制度。编制全市国道公路养护大（中）修工程计划。检查、验收国道公路大（中）修项目落实情况。督导国道公路养护巡查、检查养护质量。收集、统计、上报全市国道公路养护生产各类报表、交通流量数据及桥梁基本情况。具体负责由市直接管理的普通国道的公路的建设（改建）、养护和路政管理工作。完成上级交办的其他工作。</w:t>
      </w:r>
    </w:p>
    <w:p>
      <w:pPr>
        <w:spacing w:line="540" w:lineRule="exact"/>
        <w:ind w:firstLine="622" w:firstLineChars="200"/>
        <w:rPr>
          <w:rFonts w:eastAsia="仿宋"/>
          <w:sz w:val="30"/>
          <w:szCs w:val="30"/>
        </w:rPr>
      </w:pPr>
      <w:r>
        <w:rPr>
          <w:rFonts w:eastAsia="楷体"/>
          <w:b/>
          <w:bCs/>
          <w:color w:val="000000"/>
          <w:kern w:val="0"/>
          <w:sz w:val="31"/>
          <w:szCs w:val="31"/>
          <w:lang w:bidi="ar"/>
        </w:rPr>
        <w:t>（二）内设机构。</w:t>
      </w:r>
      <w:r>
        <w:rPr>
          <w:rFonts w:eastAsia="方正仿宋简体"/>
          <w:color w:val="333333"/>
          <w:sz w:val="32"/>
          <w:szCs w:val="32"/>
          <w:shd w:val="clear" w:color="auto" w:fill="FFFFFF"/>
        </w:rPr>
        <w:t>巴中市国道管理所内设办公室、养护科、财务科、安全科、路产保护科。下辖枣林养护站、乐坝养护站和乐坝超限检测站。</w:t>
      </w:r>
    </w:p>
    <w:p>
      <w:pPr>
        <w:spacing w:line="540" w:lineRule="exact"/>
        <w:ind w:firstLine="930" w:firstLineChars="300"/>
      </w:pPr>
      <w:r>
        <w:rPr>
          <w:rFonts w:eastAsia="仿宋_GB2312"/>
          <w:color w:val="000000"/>
          <w:kern w:val="0"/>
          <w:sz w:val="31"/>
          <w:szCs w:val="31"/>
          <w:lang w:bidi="ar"/>
        </w:rPr>
        <w:t xml:space="preserve"> </w:t>
      </w:r>
    </w:p>
    <w:p>
      <w:pPr>
        <w:widowControl/>
        <w:spacing w:line="540" w:lineRule="exact"/>
        <w:ind w:firstLine="622" w:firstLineChars="200"/>
        <w:jc w:val="left"/>
      </w:pPr>
      <w:r>
        <w:rPr>
          <w:rFonts w:eastAsia="楷体"/>
          <w:b/>
          <w:bCs/>
          <w:color w:val="000000"/>
          <w:kern w:val="0"/>
          <w:sz w:val="31"/>
          <w:szCs w:val="31"/>
          <w:lang w:bidi="ar"/>
        </w:rPr>
        <w:t>（三）人员及车辆编制。</w:t>
      </w:r>
      <w:r>
        <w:rPr>
          <w:rFonts w:eastAsia="方正仿宋简体"/>
          <w:color w:val="333333"/>
          <w:sz w:val="32"/>
          <w:szCs w:val="32"/>
          <w:shd w:val="clear" w:color="auto" w:fill="FFFFFF"/>
        </w:rPr>
        <w:t xml:space="preserve">巴中市国道管理所现有在编在职人员 51 人、退休 60 人，长期赡养人员 24 人。在编车辆 5台。 </w:t>
      </w:r>
    </w:p>
    <w:p>
      <w:pPr>
        <w:widowControl/>
        <w:spacing w:line="540" w:lineRule="exact"/>
        <w:jc w:val="left"/>
      </w:pPr>
      <w:r>
        <w:rPr>
          <w:rFonts w:eastAsia="楷体"/>
          <w:b/>
          <w:bCs/>
          <w:color w:val="000000"/>
          <w:kern w:val="0"/>
          <w:sz w:val="31"/>
          <w:szCs w:val="31"/>
          <w:lang w:bidi="ar"/>
        </w:rPr>
        <w:t xml:space="preserve">（四）经费预算及执行情况 </w:t>
      </w:r>
    </w:p>
    <w:p>
      <w:pPr>
        <w:widowControl/>
        <w:adjustRightInd w:val="0"/>
        <w:snapToGrid w:val="0"/>
        <w:spacing w:line="540" w:lineRule="exact"/>
        <w:ind w:firstLine="640" w:firstLineChars="200"/>
        <w:contextualSpacing/>
        <w:jc w:val="left"/>
        <w:rPr>
          <w:rFonts w:eastAsia="方正仿宋简体"/>
          <w:color w:val="333333"/>
          <w:sz w:val="32"/>
          <w:szCs w:val="32"/>
          <w:shd w:val="clear" w:color="auto" w:fill="FFFFFF"/>
        </w:rPr>
      </w:pPr>
      <w:r>
        <w:rPr>
          <w:rFonts w:eastAsia="方正仿宋简体"/>
          <w:color w:val="333333"/>
          <w:sz w:val="32"/>
          <w:szCs w:val="32"/>
          <w:shd w:val="clear" w:color="auto" w:fill="FFFFFF"/>
        </w:rPr>
        <w:t xml:space="preserve">1、预算情况：上年结转及存量资金安排 662 万元； </w:t>
      </w:r>
    </w:p>
    <w:p>
      <w:pPr>
        <w:widowControl/>
        <w:adjustRightInd w:val="0"/>
        <w:snapToGrid w:val="0"/>
        <w:spacing w:line="540" w:lineRule="exact"/>
        <w:ind w:firstLine="640" w:firstLineChars="200"/>
        <w:contextualSpacing/>
        <w:jc w:val="left"/>
        <w:rPr>
          <w:rFonts w:eastAsia="方正仿宋简体"/>
          <w:color w:val="333333"/>
          <w:sz w:val="32"/>
          <w:szCs w:val="32"/>
          <w:shd w:val="clear" w:color="auto" w:fill="FFFFFF"/>
        </w:rPr>
      </w:pPr>
      <w:r>
        <w:rPr>
          <w:rFonts w:eastAsia="方正仿宋简体"/>
          <w:color w:val="333333"/>
          <w:sz w:val="32"/>
          <w:szCs w:val="32"/>
          <w:shd w:val="clear" w:color="auto" w:fill="FFFFFF"/>
        </w:rPr>
        <w:t xml:space="preserve">年初批准预算为 666.04 万元，追加预算 421.76万元，上级补助资金421.5万元，本年度财政预算收入合计 2171.3万元。 </w:t>
      </w:r>
    </w:p>
    <w:p>
      <w:pPr>
        <w:widowControl/>
        <w:adjustRightInd w:val="0"/>
        <w:snapToGrid w:val="0"/>
        <w:spacing w:line="540" w:lineRule="exact"/>
        <w:ind w:firstLine="640" w:firstLineChars="200"/>
        <w:contextualSpacing/>
        <w:jc w:val="left"/>
        <w:rPr>
          <w:rFonts w:eastAsia="方正仿宋简体"/>
          <w:color w:val="333333"/>
          <w:sz w:val="32"/>
          <w:szCs w:val="32"/>
          <w:shd w:val="clear" w:color="auto" w:fill="FFFFFF"/>
        </w:rPr>
      </w:pPr>
      <w:r>
        <w:rPr>
          <w:rFonts w:eastAsia="方正仿宋简体"/>
          <w:color w:val="333333"/>
          <w:sz w:val="32"/>
          <w:szCs w:val="32"/>
          <w:shd w:val="clear" w:color="auto" w:fill="FFFFFF"/>
        </w:rPr>
        <w:t xml:space="preserve">2、执行情况：基本支出：1016.7万元；项目支出1154.6 </w:t>
      </w:r>
    </w:p>
    <w:p>
      <w:pPr>
        <w:widowControl/>
        <w:adjustRightInd w:val="0"/>
        <w:snapToGrid w:val="0"/>
        <w:spacing w:line="540" w:lineRule="exact"/>
        <w:ind w:firstLine="640" w:firstLineChars="200"/>
        <w:contextualSpacing/>
        <w:jc w:val="left"/>
      </w:pPr>
      <w:r>
        <w:rPr>
          <w:rFonts w:eastAsia="方正仿宋简体"/>
          <w:color w:val="333333"/>
          <w:sz w:val="32"/>
          <w:szCs w:val="32"/>
          <w:shd w:val="clear" w:color="auto" w:fill="FFFFFF"/>
        </w:rPr>
        <w:t>万元，共计 2171.3 万元，占预算100%。</w:t>
      </w:r>
      <w:r>
        <w:rPr>
          <w:rFonts w:eastAsia="仿宋_GB2312"/>
          <w:color w:val="000000"/>
          <w:kern w:val="0"/>
          <w:sz w:val="31"/>
          <w:szCs w:val="31"/>
          <w:lang w:bidi="ar"/>
        </w:rPr>
        <w:t xml:space="preserve"> </w:t>
      </w:r>
    </w:p>
    <w:p>
      <w:pPr>
        <w:widowControl/>
        <w:spacing w:line="540" w:lineRule="exact"/>
        <w:jc w:val="left"/>
      </w:pPr>
      <w:r>
        <w:rPr>
          <w:rFonts w:eastAsia="黑体"/>
          <w:color w:val="000000"/>
          <w:kern w:val="0"/>
          <w:sz w:val="31"/>
          <w:szCs w:val="31"/>
          <w:lang w:bidi="ar"/>
        </w:rPr>
        <w:t xml:space="preserve">二、项目资金情况 </w:t>
      </w:r>
    </w:p>
    <w:p>
      <w:pPr>
        <w:widowControl/>
        <w:spacing w:line="540" w:lineRule="exact"/>
        <w:ind w:firstLine="622" w:firstLineChars="200"/>
        <w:jc w:val="left"/>
      </w:pPr>
      <w:r>
        <w:rPr>
          <w:rFonts w:eastAsia="楷体"/>
          <w:b/>
          <w:bCs/>
          <w:color w:val="000000"/>
          <w:kern w:val="0"/>
          <w:sz w:val="31"/>
          <w:szCs w:val="31"/>
          <w:lang w:bidi="ar"/>
        </w:rPr>
        <w:t>（一）项目预算及使用情况。</w:t>
      </w:r>
      <w:r>
        <w:rPr>
          <w:rFonts w:eastAsia="方正仿宋简体"/>
          <w:color w:val="333333"/>
          <w:sz w:val="32"/>
          <w:szCs w:val="32"/>
          <w:shd w:val="clear" w:color="auto" w:fill="FFFFFF"/>
        </w:rPr>
        <w:t>2022 年度，财政预算（含上年结转及追加）项目收入共计 1154.6万元，其中：上年结转及存量资金安排 662万元、年度预算71.1万元，上级补助资金421.5万元，项目支出 1154.6万元，占项目预算 100%。</w:t>
      </w:r>
      <w:r>
        <w:rPr>
          <w:rFonts w:eastAsia="仿宋_GB2312"/>
          <w:color w:val="000000"/>
          <w:kern w:val="0"/>
          <w:sz w:val="31"/>
          <w:szCs w:val="31"/>
          <w:lang w:bidi="ar"/>
        </w:rPr>
        <w:t xml:space="preserve"> </w:t>
      </w:r>
    </w:p>
    <w:p>
      <w:pPr>
        <w:widowControl/>
        <w:spacing w:line="540" w:lineRule="exact"/>
        <w:ind w:firstLine="622" w:firstLineChars="200"/>
        <w:jc w:val="left"/>
      </w:pPr>
      <w:r>
        <w:rPr>
          <w:rFonts w:eastAsia="楷体"/>
          <w:b/>
          <w:bCs/>
          <w:color w:val="000000"/>
          <w:kern w:val="0"/>
          <w:sz w:val="31"/>
          <w:szCs w:val="31"/>
          <w:lang w:bidi="ar"/>
        </w:rPr>
        <w:t>（二）项目资金管理情况。</w:t>
      </w:r>
      <w:r>
        <w:rPr>
          <w:rFonts w:eastAsia="方正仿宋简体"/>
          <w:color w:val="333333"/>
          <w:sz w:val="32"/>
          <w:szCs w:val="32"/>
          <w:shd w:val="clear" w:color="auto" w:fill="FFFFFF"/>
        </w:rPr>
        <w:t>项目预算申报设立合理，编 制科学并依照规定对项目的实施严格管理。通过业务科室、分管领导结合内部控制制度严格把关，并逗硬考核，确保各项目有序推进。依据财政对项目资金使用管理、绩效评价等和按财政批复核算到具体明细项目，专</w:t>
      </w:r>
      <w:r>
        <w:rPr>
          <w:rFonts w:hint="eastAsia" w:eastAsia="方正仿宋简体"/>
          <w:color w:val="333333"/>
          <w:sz w:val="32"/>
          <w:szCs w:val="32"/>
          <w:shd w:val="clear" w:color="auto" w:fill="FFFFFF"/>
          <w:lang w:eastAsia="zh-CN"/>
        </w:rPr>
        <w:t>账核算</w:t>
      </w:r>
      <w:bookmarkStart w:id="112" w:name="_GoBack"/>
      <w:bookmarkEnd w:id="112"/>
      <w:r>
        <w:rPr>
          <w:rFonts w:eastAsia="方正仿宋简体"/>
          <w:color w:val="333333"/>
          <w:sz w:val="32"/>
          <w:szCs w:val="32"/>
          <w:shd w:val="clear" w:color="auto" w:fill="FFFFFF"/>
        </w:rPr>
        <w:t xml:space="preserve">，对项目资金实行严格管理，确保项目资金安全、合规、有效使用。 </w:t>
      </w:r>
    </w:p>
    <w:p>
      <w:pPr>
        <w:widowControl/>
        <w:adjustRightInd w:val="0"/>
        <w:snapToGrid w:val="0"/>
        <w:spacing w:line="540" w:lineRule="exact"/>
        <w:ind w:firstLine="622" w:firstLineChars="200"/>
        <w:contextualSpacing/>
        <w:jc w:val="left"/>
        <w:rPr>
          <w:rFonts w:eastAsia="方正仿宋简体"/>
          <w:color w:val="333333"/>
          <w:sz w:val="32"/>
          <w:szCs w:val="32"/>
          <w:shd w:val="clear" w:color="auto" w:fill="FFFFFF"/>
        </w:rPr>
      </w:pPr>
      <w:r>
        <w:rPr>
          <w:rFonts w:eastAsia="楷体"/>
          <w:b/>
          <w:bCs/>
          <w:color w:val="000000"/>
          <w:kern w:val="0"/>
          <w:sz w:val="31"/>
          <w:szCs w:val="31"/>
          <w:lang w:bidi="ar"/>
        </w:rPr>
        <w:t>（三）项目实施及效益情况。</w:t>
      </w:r>
      <w:r>
        <w:rPr>
          <w:rFonts w:eastAsia="方正仿宋简体"/>
          <w:color w:val="333333"/>
          <w:sz w:val="32"/>
          <w:szCs w:val="32"/>
          <w:shd w:val="clear" w:color="auto" w:fill="FFFFFF"/>
        </w:rPr>
        <w:t>2022年，我所各项工作坚持以习近平新时代中国特色社会主义思想为指导，聚焦全市交通强市战略决策部署，坚持以服务公众出行需求为服务宗旨，统筹推进巴乐公路养护管理各项工作，较好地完成了全年目标任务。主动对接“十四五”规划，争取上级主管部门的领导的重视和支持，G542线乐坝至沙河段和G244线沙河至大佛寺段局部路段分别纳入2022年全省普通国道干线公路中修和预防性养护工程项目省级补助，G244线下两场镇过境路改造纳入交通强市“十四五”改造项目，G244线枣林养护站纳入为2022年全省普通国省干线公路提档升级改造项目。投入250余万元，完成G542线乐坝至大佛寺和G244线沙河至大佛寺15处地质灾害整治和水毁恢复工程。投入360余万元，完成G244线沙河至大佛寺12.774公里路段事故易发路段安全隐患整治。</w:t>
      </w:r>
    </w:p>
    <w:p>
      <w:pPr>
        <w:widowControl/>
        <w:adjustRightInd w:val="0"/>
        <w:snapToGrid w:val="0"/>
        <w:spacing w:line="540" w:lineRule="exact"/>
        <w:ind w:firstLine="640" w:firstLineChars="200"/>
        <w:contextualSpacing/>
        <w:jc w:val="left"/>
        <w:rPr>
          <w:rFonts w:eastAsia="方正仿宋简体"/>
          <w:color w:val="333333"/>
          <w:sz w:val="32"/>
          <w:szCs w:val="32"/>
          <w:shd w:val="clear" w:color="auto" w:fill="FFFFFF"/>
        </w:rPr>
      </w:pPr>
      <w:r>
        <w:rPr>
          <w:rFonts w:eastAsia="方正仿宋简体"/>
          <w:color w:val="333333"/>
          <w:sz w:val="32"/>
          <w:szCs w:val="32"/>
          <w:shd w:val="clear" w:color="auto" w:fill="FFFFFF"/>
        </w:rPr>
        <w:t xml:space="preserve">通过自评，项目资金严格按实施进度支付，项目规划及 </w:t>
      </w:r>
    </w:p>
    <w:p>
      <w:pPr>
        <w:widowControl/>
        <w:adjustRightInd w:val="0"/>
        <w:snapToGrid w:val="0"/>
        <w:spacing w:line="540" w:lineRule="exact"/>
        <w:ind w:firstLine="640" w:firstLineChars="200"/>
        <w:contextualSpacing/>
        <w:jc w:val="left"/>
        <w:rPr>
          <w:rFonts w:eastAsia="方正仿宋简体"/>
          <w:color w:val="333333"/>
          <w:sz w:val="32"/>
          <w:szCs w:val="32"/>
          <w:shd w:val="clear" w:color="auto" w:fill="FFFFFF"/>
        </w:rPr>
      </w:pPr>
      <w:r>
        <w:rPr>
          <w:rFonts w:eastAsia="方正仿宋简体"/>
          <w:color w:val="333333"/>
          <w:sz w:val="32"/>
          <w:szCs w:val="32"/>
          <w:shd w:val="clear" w:color="auto" w:fill="FFFFFF"/>
        </w:rPr>
        <w:t xml:space="preserve">方案设计合理，财务管理及督查制度健全并严格执行，实行 </w:t>
      </w:r>
    </w:p>
    <w:p>
      <w:pPr>
        <w:widowControl/>
        <w:adjustRightInd w:val="0"/>
        <w:snapToGrid w:val="0"/>
        <w:spacing w:line="540" w:lineRule="exact"/>
        <w:ind w:firstLine="640" w:firstLineChars="200"/>
        <w:contextualSpacing/>
        <w:jc w:val="left"/>
        <w:rPr>
          <w:rFonts w:eastAsia="方正仿宋简体"/>
          <w:color w:val="333333"/>
          <w:sz w:val="32"/>
          <w:szCs w:val="32"/>
          <w:shd w:val="clear" w:color="auto" w:fill="FFFFFF"/>
        </w:rPr>
      </w:pPr>
      <w:r>
        <w:rPr>
          <w:rFonts w:eastAsia="方正仿宋简体"/>
          <w:color w:val="333333"/>
          <w:sz w:val="32"/>
          <w:szCs w:val="32"/>
          <w:shd w:val="clear" w:color="auto" w:fill="FFFFFF"/>
        </w:rPr>
        <w:t xml:space="preserve">了专项核算，核算准确、规范，绩效目标实现了年初制定的 </w:t>
      </w:r>
    </w:p>
    <w:p>
      <w:pPr>
        <w:widowControl/>
        <w:adjustRightInd w:val="0"/>
        <w:snapToGrid w:val="0"/>
        <w:spacing w:line="540" w:lineRule="exact"/>
        <w:ind w:firstLine="640" w:firstLineChars="200"/>
        <w:contextualSpacing/>
        <w:jc w:val="left"/>
        <w:rPr>
          <w:rFonts w:eastAsia="方正仿宋简体"/>
          <w:color w:val="333333"/>
          <w:sz w:val="32"/>
          <w:szCs w:val="32"/>
          <w:shd w:val="clear" w:color="auto" w:fill="FFFFFF"/>
        </w:rPr>
      </w:pPr>
      <w:r>
        <w:rPr>
          <w:rFonts w:eastAsia="方正仿宋简体"/>
          <w:color w:val="333333"/>
          <w:sz w:val="32"/>
          <w:szCs w:val="32"/>
          <w:shd w:val="clear" w:color="auto" w:fill="FFFFFF"/>
        </w:rPr>
        <w:t xml:space="preserve">各项目标任务。自评得分 96分。 </w:t>
      </w:r>
    </w:p>
    <w:p>
      <w:pPr>
        <w:keepNext/>
        <w:keepLines/>
        <w:spacing w:before="260" w:after="260" w:line="540" w:lineRule="exact"/>
        <w:ind w:firstLine="640"/>
        <w:rPr>
          <w:rFonts w:eastAsia="黑体"/>
          <w:color w:val="000000"/>
          <w:sz w:val="32"/>
        </w:rPr>
      </w:pPr>
      <w:r>
        <w:rPr>
          <w:rFonts w:eastAsia="黑体"/>
          <w:color w:val="000000"/>
          <w:sz w:val="32"/>
        </w:rPr>
        <w:t>三、评价结论及建议</w:t>
      </w:r>
    </w:p>
    <w:p>
      <w:pPr>
        <w:widowControl/>
        <w:adjustRightInd w:val="0"/>
        <w:snapToGrid w:val="0"/>
        <w:spacing w:line="540" w:lineRule="exact"/>
        <w:ind w:firstLine="643" w:firstLineChars="200"/>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（一）评价结论。</w:t>
      </w:r>
    </w:p>
    <w:p>
      <w:pPr>
        <w:widowControl/>
        <w:adjustRightInd w:val="0"/>
        <w:snapToGrid w:val="0"/>
        <w:spacing w:line="540" w:lineRule="exact"/>
        <w:ind w:firstLine="640" w:firstLineChars="200"/>
        <w:contextualSpacing/>
        <w:jc w:val="left"/>
        <w:rPr>
          <w:rFonts w:eastAsia="方正仿宋简体"/>
          <w:color w:val="333333"/>
          <w:sz w:val="32"/>
          <w:szCs w:val="32"/>
          <w:shd w:val="clear" w:color="auto" w:fill="FFFFFF"/>
        </w:rPr>
      </w:pPr>
      <w:r>
        <w:rPr>
          <w:rFonts w:eastAsia="方正仿宋简体"/>
          <w:color w:val="333333"/>
          <w:sz w:val="32"/>
          <w:szCs w:val="32"/>
          <w:shd w:val="clear" w:color="auto" w:fill="FFFFFF"/>
        </w:rPr>
        <w:t>预算编制程序合规、信息准确，动态调整及时，专项预算符合相关法律法规及政策规定，目标绩效完成较好，资金管理制度健全，资金使用较为规范，制度执行较好，支出控制严格，达到了预期目标。</w:t>
      </w:r>
    </w:p>
    <w:p>
      <w:pPr>
        <w:widowControl/>
        <w:adjustRightInd w:val="0"/>
        <w:snapToGrid w:val="0"/>
        <w:spacing w:line="540" w:lineRule="exact"/>
        <w:ind w:firstLine="643" w:firstLineChars="200"/>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（二）存在问题。</w:t>
      </w:r>
    </w:p>
    <w:p>
      <w:pPr>
        <w:widowControl/>
        <w:adjustRightInd w:val="0"/>
        <w:snapToGrid w:val="0"/>
        <w:spacing w:line="540" w:lineRule="exact"/>
        <w:ind w:firstLine="640" w:firstLineChars="200"/>
        <w:contextualSpacing/>
        <w:jc w:val="left"/>
        <w:rPr>
          <w:rFonts w:eastAsia="方正仿宋简体"/>
          <w:color w:val="333333"/>
          <w:sz w:val="32"/>
          <w:szCs w:val="32"/>
          <w:shd w:val="clear" w:color="auto" w:fill="FFFFFF"/>
        </w:rPr>
      </w:pPr>
      <w:r>
        <w:rPr>
          <w:rFonts w:eastAsia="方正仿宋简体"/>
          <w:color w:val="333333"/>
          <w:sz w:val="32"/>
          <w:szCs w:val="32"/>
          <w:shd w:val="clear" w:color="auto" w:fill="FFFFFF"/>
        </w:rPr>
        <w:t>个别项目资金存在预算不足、拨付进度比较缓慢。</w:t>
      </w:r>
    </w:p>
    <w:p>
      <w:pPr>
        <w:widowControl/>
        <w:adjustRightInd w:val="0"/>
        <w:snapToGrid w:val="0"/>
        <w:spacing w:line="540" w:lineRule="exact"/>
        <w:ind w:firstLine="643" w:firstLineChars="200"/>
        <w:contextualSpacing/>
        <w:jc w:val="left"/>
        <w:rPr>
          <w:rFonts w:eastAsia="楷体_GB2312"/>
          <w:b/>
          <w:bCs/>
          <w:kern w:val="0"/>
          <w:sz w:val="32"/>
          <w:szCs w:val="32"/>
          <w:shd w:val="clear" w:color="auto" w:fill="FFFFFF"/>
          <w:lang w:val="zh-CN"/>
        </w:rPr>
      </w:pPr>
      <w:r>
        <w:rPr>
          <w:rFonts w:eastAsia="楷体_GB2312"/>
          <w:b/>
          <w:bCs/>
          <w:kern w:val="0"/>
          <w:sz w:val="32"/>
          <w:szCs w:val="32"/>
          <w:shd w:val="clear" w:color="auto" w:fill="FFFFFF"/>
          <w:lang w:val="zh-CN"/>
        </w:rPr>
        <w:t>（三）改进建议。</w:t>
      </w:r>
    </w:p>
    <w:p>
      <w:pPr>
        <w:widowControl/>
        <w:adjustRightInd w:val="0"/>
        <w:snapToGrid w:val="0"/>
        <w:spacing w:line="540" w:lineRule="exact"/>
        <w:ind w:firstLine="643" w:firstLineChars="200"/>
        <w:contextualSpacing/>
        <w:jc w:val="left"/>
        <w:rPr>
          <w:rFonts w:eastAsia="方正仿宋简体"/>
          <w:sz w:val="32"/>
          <w:szCs w:val="32"/>
        </w:rPr>
      </w:pPr>
      <w:r>
        <w:rPr>
          <w:rFonts w:eastAsia="方正仿宋简体"/>
          <w:b/>
          <w:bCs/>
          <w:color w:val="333333"/>
          <w:sz w:val="32"/>
          <w:szCs w:val="32"/>
          <w:shd w:val="clear" w:color="auto" w:fill="FFFFFF"/>
        </w:rPr>
        <w:t>一是</w:t>
      </w:r>
      <w:r>
        <w:rPr>
          <w:rFonts w:eastAsia="方正仿宋简体"/>
          <w:color w:val="333333"/>
          <w:sz w:val="32"/>
          <w:szCs w:val="32"/>
          <w:shd w:val="clear" w:color="auto" w:fill="FFFFFF"/>
        </w:rPr>
        <w:t>加强预算编制的前期调查研究，进一步提升预算编制的科学性。</w:t>
      </w:r>
      <w:r>
        <w:rPr>
          <w:rFonts w:eastAsia="方正仿宋简体"/>
          <w:b/>
          <w:bCs/>
          <w:color w:val="333333"/>
          <w:sz w:val="32"/>
          <w:szCs w:val="32"/>
          <w:shd w:val="clear" w:color="auto" w:fill="FFFFFF"/>
        </w:rPr>
        <w:t>二是</w:t>
      </w:r>
      <w:r>
        <w:rPr>
          <w:rFonts w:eastAsia="方正仿宋简体"/>
          <w:color w:val="333333"/>
          <w:sz w:val="32"/>
          <w:szCs w:val="32"/>
          <w:shd w:val="clear" w:color="auto" w:fill="FFFFFF"/>
        </w:rPr>
        <w:t>加强预算执行管理，及时掌握预算执行进度</w:t>
      </w:r>
      <w:r>
        <w:rPr>
          <w:rFonts w:eastAsia="方正仿宋简体"/>
          <w:sz w:val="32"/>
          <w:szCs w:val="32"/>
        </w:rPr>
        <w:t>。</w:t>
      </w:r>
    </w:p>
    <w:p>
      <w:pPr>
        <w:pStyle w:val="2"/>
        <w:spacing w:before="93"/>
        <w:rPr>
          <w:rFonts w:ascii="Times New Roman"/>
          <w:sz w:val="32"/>
          <w:szCs w:val="32"/>
        </w:rPr>
      </w:pPr>
    </w:p>
    <w:p>
      <w:pPr>
        <w:rPr>
          <w:rStyle w:val="29"/>
          <w:rFonts w:eastAsia="黑体"/>
          <w:b w:val="0"/>
        </w:rPr>
      </w:pPr>
      <w:r>
        <w:rPr>
          <w:rStyle w:val="29"/>
          <w:rFonts w:eastAsia="黑体"/>
          <w:b w:val="0"/>
        </w:rPr>
        <w:br w:type="page"/>
      </w:r>
    </w:p>
    <w:p>
      <w:pPr>
        <w:pStyle w:val="2"/>
        <w:spacing w:before="93"/>
      </w:pPr>
    </w:p>
    <w:p>
      <w:pPr>
        <w:widowControl/>
        <w:jc w:val="center"/>
        <w:outlineLvl w:val="0"/>
        <w:rPr>
          <w:rFonts w:eastAsia="仿宋"/>
        </w:rPr>
      </w:pPr>
      <w:bookmarkStart w:id="70" w:name="_Toc15396618"/>
      <w:bookmarkStart w:id="71" w:name="_Toc26946"/>
      <w:bookmarkStart w:id="72" w:name="_Toc22884"/>
      <w:r>
        <w:rPr>
          <w:rFonts w:eastAsia="黑体"/>
          <w:sz w:val="44"/>
          <w:szCs w:val="44"/>
        </w:rPr>
        <w:t>第</w:t>
      </w:r>
      <w:r>
        <w:rPr>
          <w:rStyle w:val="29"/>
          <w:rFonts w:eastAsia="黑体"/>
          <w:b w:val="0"/>
        </w:rPr>
        <w:t>五部分 附表</w:t>
      </w:r>
      <w:bookmarkEnd w:id="69"/>
      <w:bookmarkEnd w:id="70"/>
      <w:bookmarkEnd w:id="71"/>
      <w:bookmarkEnd w:id="72"/>
      <w:bookmarkStart w:id="73" w:name="_Toc15396619"/>
    </w:p>
    <w:p>
      <w:pPr>
        <w:pStyle w:val="4"/>
        <w:rPr>
          <w:rFonts w:ascii="Times New Roman" w:hAnsi="Times New Roman" w:eastAsia="仿宋" w:cs="Times New Roman"/>
        </w:rPr>
      </w:pPr>
      <w:bookmarkStart w:id="74" w:name="_Toc2757"/>
      <w:bookmarkStart w:id="75" w:name="_Toc30541"/>
      <w:r>
        <w:rPr>
          <w:rFonts w:ascii="Times New Roman" w:hAnsi="Times New Roman" w:eastAsia="仿宋" w:cs="Times New Roman"/>
          <w:b w:val="0"/>
        </w:rPr>
        <w:t>一、收</w:t>
      </w:r>
      <w:r>
        <w:rPr>
          <w:rStyle w:val="30"/>
          <w:rFonts w:ascii="Times New Roman" w:hAnsi="Times New Roman" w:eastAsia="仿宋" w:cs="Times New Roman"/>
          <w:b w:val="0"/>
          <w:bCs w:val="0"/>
        </w:rPr>
        <w:t>入支出决算总表</w:t>
      </w:r>
      <w:bookmarkEnd w:id="73"/>
      <w:bookmarkEnd w:id="74"/>
      <w:bookmarkEnd w:id="75"/>
    </w:p>
    <w:p>
      <w:pPr>
        <w:pStyle w:val="4"/>
        <w:rPr>
          <w:rFonts w:ascii="Times New Roman" w:hAnsi="Times New Roman" w:eastAsia="仿宋" w:cs="Times New Roman"/>
        </w:rPr>
      </w:pPr>
      <w:bookmarkStart w:id="76" w:name="_Toc29781"/>
      <w:bookmarkStart w:id="77" w:name="_Toc15396620"/>
      <w:bookmarkStart w:id="78" w:name="_Toc7154"/>
      <w:r>
        <w:rPr>
          <w:rFonts w:ascii="Times New Roman" w:hAnsi="Times New Roman" w:eastAsia="仿宋" w:cs="Times New Roman"/>
          <w:b w:val="0"/>
        </w:rPr>
        <w:t>二、收</w:t>
      </w:r>
      <w:r>
        <w:rPr>
          <w:rStyle w:val="30"/>
          <w:rFonts w:ascii="Times New Roman" w:hAnsi="Times New Roman" w:eastAsia="仿宋" w:cs="Times New Roman"/>
          <w:b w:val="0"/>
          <w:bCs w:val="0"/>
        </w:rPr>
        <w:t>入决算表</w:t>
      </w:r>
      <w:bookmarkEnd w:id="76"/>
      <w:bookmarkEnd w:id="77"/>
      <w:bookmarkEnd w:id="78"/>
    </w:p>
    <w:p>
      <w:pPr>
        <w:pStyle w:val="4"/>
        <w:rPr>
          <w:rFonts w:ascii="Times New Roman" w:hAnsi="Times New Roman" w:eastAsia="仿宋" w:cs="Times New Roman"/>
        </w:rPr>
      </w:pPr>
      <w:bookmarkStart w:id="79" w:name="_Toc32502"/>
      <w:bookmarkStart w:id="80" w:name="_Toc31651"/>
      <w:bookmarkStart w:id="81" w:name="_Toc15396621"/>
      <w:r>
        <w:rPr>
          <w:rStyle w:val="30"/>
          <w:rFonts w:ascii="Times New Roman" w:hAnsi="Times New Roman" w:eastAsia="仿宋" w:cs="Times New Roman"/>
          <w:b w:val="0"/>
          <w:bCs w:val="0"/>
        </w:rPr>
        <w:t>三、</w:t>
      </w:r>
      <w:r>
        <w:rPr>
          <w:rFonts w:ascii="Times New Roman" w:hAnsi="Times New Roman" w:eastAsia="仿宋" w:cs="Times New Roman"/>
          <w:b w:val="0"/>
        </w:rPr>
        <w:t>支</w:t>
      </w:r>
      <w:r>
        <w:rPr>
          <w:rStyle w:val="30"/>
          <w:rFonts w:ascii="Times New Roman" w:hAnsi="Times New Roman" w:eastAsia="仿宋" w:cs="Times New Roman"/>
          <w:b w:val="0"/>
          <w:bCs w:val="0"/>
        </w:rPr>
        <w:t>出决算表</w:t>
      </w:r>
      <w:bookmarkEnd w:id="79"/>
      <w:bookmarkEnd w:id="80"/>
      <w:bookmarkEnd w:id="81"/>
    </w:p>
    <w:p>
      <w:pPr>
        <w:pStyle w:val="4"/>
        <w:rPr>
          <w:rFonts w:ascii="Times New Roman" w:hAnsi="Times New Roman" w:eastAsia="仿宋" w:cs="Times New Roman"/>
          <w:b w:val="0"/>
        </w:rPr>
      </w:pPr>
      <w:bookmarkStart w:id="82" w:name="_Toc15396622"/>
      <w:bookmarkStart w:id="83" w:name="_Toc2005"/>
      <w:bookmarkStart w:id="84" w:name="_Toc1506"/>
      <w:r>
        <w:rPr>
          <w:rStyle w:val="30"/>
          <w:rFonts w:ascii="Times New Roman" w:hAnsi="Times New Roman" w:eastAsia="仿宋" w:cs="Times New Roman"/>
          <w:b w:val="0"/>
          <w:bCs w:val="0"/>
        </w:rPr>
        <w:t>四、</w:t>
      </w:r>
      <w:r>
        <w:rPr>
          <w:rFonts w:ascii="Times New Roman" w:hAnsi="Times New Roman" w:eastAsia="仿宋" w:cs="Times New Roman"/>
          <w:b w:val="0"/>
        </w:rPr>
        <w:t>财</w:t>
      </w:r>
      <w:r>
        <w:rPr>
          <w:rStyle w:val="30"/>
          <w:rFonts w:ascii="Times New Roman" w:hAnsi="Times New Roman" w:eastAsia="仿宋" w:cs="Times New Roman"/>
          <w:b w:val="0"/>
          <w:bCs w:val="0"/>
        </w:rPr>
        <w:t>政拨款收入支出决算总表</w:t>
      </w:r>
      <w:bookmarkEnd w:id="82"/>
      <w:bookmarkEnd w:id="83"/>
      <w:bookmarkEnd w:id="84"/>
    </w:p>
    <w:p>
      <w:pPr>
        <w:pStyle w:val="4"/>
        <w:rPr>
          <w:rStyle w:val="30"/>
          <w:rFonts w:ascii="Times New Roman" w:hAnsi="Times New Roman" w:eastAsia="仿宋" w:cs="Times New Roman"/>
          <w:b w:val="0"/>
          <w:bCs w:val="0"/>
        </w:rPr>
      </w:pPr>
      <w:bookmarkStart w:id="85" w:name="_Toc14055"/>
      <w:bookmarkStart w:id="86" w:name="_Toc15396623"/>
      <w:bookmarkStart w:id="87" w:name="_Toc29851"/>
      <w:r>
        <w:rPr>
          <w:rStyle w:val="30"/>
          <w:rFonts w:ascii="Times New Roman" w:hAnsi="Times New Roman" w:eastAsia="仿宋" w:cs="Times New Roman"/>
          <w:b w:val="0"/>
          <w:bCs w:val="0"/>
        </w:rPr>
        <w:t>五、</w:t>
      </w:r>
      <w:r>
        <w:rPr>
          <w:rFonts w:ascii="Times New Roman" w:hAnsi="Times New Roman" w:eastAsia="仿宋" w:cs="Times New Roman"/>
          <w:b w:val="0"/>
        </w:rPr>
        <w:t>财</w:t>
      </w:r>
      <w:r>
        <w:rPr>
          <w:rStyle w:val="30"/>
          <w:rFonts w:ascii="Times New Roman" w:hAnsi="Times New Roman" w:eastAsia="仿宋" w:cs="Times New Roman"/>
          <w:b w:val="0"/>
          <w:bCs w:val="0"/>
        </w:rPr>
        <w:t>政拨款支出决算明细表</w:t>
      </w:r>
      <w:bookmarkEnd w:id="85"/>
      <w:bookmarkEnd w:id="86"/>
      <w:bookmarkEnd w:id="87"/>
      <w:bookmarkStart w:id="88" w:name="_Toc15396624"/>
    </w:p>
    <w:p>
      <w:pPr>
        <w:pStyle w:val="4"/>
        <w:rPr>
          <w:rFonts w:ascii="Times New Roman" w:hAnsi="Times New Roman" w:eastAsia="仿宋" w:cs="Times New Roman"/>
        </w:rPr>
      </w:pPr>
      <w:bookmarkStart w:id="89" w:name="_Toc16595"/>
      <w:bookmarkStart w:id="90" w:name="_Toc9152"/>
      <w:r>
        <w:rPr>
          <w:rStyle w:val="30"/>
          <w:rFonts w:ascii="Times New Roman" w:hAnsi="Times New Roman" w:eastAsia="仿宋" w:cs="Times New Roman"/>
          <w:b w:val="0"/>
          <w:bCs w:val="0"/>
        </w:rPr>
        <w:t>六、</w:t>
      </w:r>
      <w:r>
        <w:rPr>
          <w:rFonts w:ascii="Times New Roman" w:hAnsi="Times New Roman" w:eastAsia="仿宋" w:cs="Times New Roman"/>
          <w:b w:val="0"/>
        </w:rPr>
        <w:t>一</w:t>
      </w:r>
      <w:r>
        <w:rPr>
          <w:rStyle w:val="30"/>
          <w:rFonts w:ascii="Times New Roman" w:hAnsi="Times New Roman" w:eastAsia="仿宋" w:cs="Times New Roman"/>
          <w:b w:val="0"/>
          <w:bCs w:val="0"/>
        </w:rPr>
        <w:t>般公共预算财政拨款支出决算表</w:t>
      </w:r>
      <w:bookmarkEnd w:id="88"/>
      <w:bookmarkEnd w:id="89"/>
      <w:bookmarkEnd w:id="90"/>
    </w:p>
    <w:p>
      <w:pPr>
        <w:pStyle w:val="4"/>
        <w:rPr>
          <w:rFonts w:ascii="Times New Roman" w:hAnsi="Times New Roman" w:eastAsia="仿宋" w:cs="Times New Roman"/>
        </w:rPr>
      </w:pPr>
      <w:bookmarkStart w:id="91" w:name="_Toc15396625"/>
      <w:bookmarkStart w:id="92" w:name="_Toc31056"/>
      <w:bookmarkStart w:id="93" w:name="_Toc16663"/>
      <w:r>
        <w:rPr>
          <w:rStyle w:val="30"/>
          <w:rFonts w:ascii="Times New Roman" w:hAnsi="Times New Roman" w:eastAsia="仿宋" w:cs="Times New Roman"/>
          <w:b w:val="0"/>
          <w:bCs w:val="0"/>
        </w:rPr>
        <w:t>七、</w:t>
      </w:r>
      <w:r>
        <w:rPr>
          <w:rFonts w:ascii="Times New Roman" w:hAnsi="Times New Roman" w:eastAsia="仿宋" w:cs="Times New Roman"/>
          <w:b w:val="0"/>
        </w:rPr>
        <w:t>一</w:t>
      </w:r>
      <w:r>
        <w:rPr>
          <w:rStyle w:val="30"/>
          <w:rFonts w:ascii="Times New Roman" w:hAnsi="Times New Roman" w:eastAsia="仿宋" w:cs="Times New Roman"/>
          <w:b w:val="0"/>
          <w:bCs w:val="0"/>
        </w:rPr>
        <w:t>般公共预算财政拨款支出决算明细表</w:t>
      </w:r>
      <w:bookmarkEnd w:id="91"/>
      <w:bookmarkEnd w:id="92"/>
      <w:bookmarkEnd w:id="93"/>
    </w:p>
    <w:p>
      <w:pPr>
        <w:pStyle w:val="4"/>
        <w:rPr>
          <w:rFonts w:ascii="Times New Roman" w:hAnsi="Times New Roman" w:eastAsia="仿宋" w:cs="Times New Roman"/>
        </w:rPr>
      </w:pPr>
      <w:bookmarkStart w:id="94" w:name="_Toc31712"/>
      <w:bookmarkStart w:id="95" w:name="_Toc15396626"/>
      <w:bookmarkStart w:id="96" w:name="_Toc4308"/>
      <w:r>
        <w:rPr>
          <w:rStyle w:val="30"/>
          <w:rFonts w:ascii="Times New Roman" w:hAnsi="Times New Roman" w:eastAsia="仿宋" w:cs="Times New Roman"/>
          <w:b w:val="0"/>
          <w:bCs w:val="0"/>
        </w:rPr>
        <w:t>八、</w:t>
      </w:r>
      <w:r>
        <w:rPr>
          <w:rFonts w:ascii="Times New Roman" w:hAnsi="Times New Roman" w:eastAsia="仿宋" w:cs="Times New Roman"/>
          <w:b w:val="0"/>
        </w:rPr>
        <w:t>一</w:t>
      </w:r>
      <w:r>
        <w:rPr>
          <w:rStyle w:val="30"/>
          <w:rFonts w:ascii="Times New Roman" w:hAnsi="Times New Roman" w:eastAsia="仿宋" w:cs="Times New Roman"/>
          <w:b w:val="0"/>
          <w:bCs w:val="0"/>
        </w:rPr>
        <w:t>般公共预算财政拨款基本支出决算表</w:t>
      </w:r>
      <w:bookmarkEnd w:id="94"/>
      <w:bookmarkEnd w:id="95"/>
      <w:bookmarkEnd w:id="96"/>
    </w:p>
    <w:p>
      <w:pPr>
        <w:pStyle w:val="4"/>
        <w:rPr>
          <w:rFonts w:ascii="Times New Roman" w:hAnsi="Times New Roman" w:eastAsia="仿宋" w:cs="Times New Roman"/>
        </w:rPr>
      </w:pPr>
      <w:bookmarkStart w:id="97" w:name="_Toc32285"/>
      <w:bookmarkStart w:id="98" w:name="_Toc15396627"/>
      <w:bookmarkStart w:id="99" w:name="_Toc6077"/>
      <w:r>
        <w:rPr>
          <w:rStyle w:val="30"/>
          <w:rFonts w:ascii="Times New Roman" w:hAnsi="Times New Roman" w:eastAsia="仿宋" w:cs="Times New Roman"/>
          <w:b w:val="0"/>
          <w:bCs w:val="0"/>
        </w:rPr>
        <w:t>九、</w:t>
      </w:r>
      <w:r>
        <w:rPr>
          <w:rFonts w:ascii="Times New Roman" w:hAnsi="Times New Roman" w:eastAsia="仿宋" w:cs="Times New Roman"/>
          <w:b w:val="0"/>
        </w:rPr>
        <w:t>一</w:t>
      </w:r>
      <w:r>
        <w:rPr>
          <w:rStyle w:val="30"/>
          <w:rFonts w:ascii="Times New Roman" w:hAnsi="Times New Roman" w:eastAsia="仿宋" w:cs="Times New Roman"/>
          <w:b w:val="0"/>
          <w:bCs w:val="0"/>
        </w:rPr>
        <w:t>般公共预算财政拨款项目支出决算表</w:t>
      </w:r>
      <w:bookmarkEnd w:id="97"/>
      <w:bookmarkEnd w:id="98"/>
      <w:bookmarkEnd w:id="99"/>
    </w:p>
    <w:p>
      <w:pPr>
        <w:pStyle w:val="4"/>
        <w:rPr>
          <w:rFonts w:ascii="Times New Roman" w:hAnsi="Times New Roman" w:eastAsia="仿宋" w:cs="Times New Roman"/>
        </w:rPr>
      </w:pPr>
      <w:bookmarkStart w:id="100" w:name="_Toc15396628"/>
      <w:bookmarkStart w:id="101" w:name="_Toc8880"/>
      <w:bookmarkStart w:id="102" w:name="_Toc25976"/>
      <w:r>
        <w:rPr>
          <w:rStyle w:val="30"/>
          <w:rFonts w:ascii="Times New Roman" w:hAnsi="Times New Roman" w:eastAsia="仿宋" w:cs="Times New Roman"/>
          <w:b w:val="0"/>
          <w:bCs w:val="0"/>
        </w:rPr>
        <w:t>十、</w:t>
      </w:r>
      <w:bookmarkEnd w:id="100"/>
      <w:r>
        <w:rPr>
          <w:rFonts w:ascii="Times New Roman" w:hAnsi="Times New Roman" w:eastAsia="仿宋" w:cs="Times New Roman"/>
          <w:b w:val="0"/>
        </w:rPr>
        <w:t>政</w:t>
      </w:r>
      <w:r>
        <w:rPr>
          <w:rStyle w:val="30"/>
          <w:rFonts w:ascii="Times New Roman" w:hAnsi="Times New Roman" w:eastAsia="仿宋" w:cs="Times New Roman"/>
          <w:b w:val="0"/>
          <w:bCs w:val="0"/>
        </w:rPr>
        <w:t>府性基金预算财政拨款收入支出决算表</w:t>
      </w:r>
      <w:bookmarkEnd w:id="101"/>
      <w:bookmarkEnd w:id="102"/>
    </w:p>
    <w:p>
      <w:pPr>
        <w:pStyle w:val="4"/>
        <w:rPr>
          <w:rFonts w:ascii="Times New Roman" w:hAnsi="Times New Roman" w:eastAsia="仿宋" w:cs="Times New Roman"/>
        </w:rPr>
      </w:pPr>
      <w:bookmarkStart w:id="103" w:name="_Toc15396629"/>
      <w:bookmarkStart w:id="104" w:name="_Toc434"/>
      <w:bookmarkStart w:id="105" w:name="_Toc23717"/>
      <w:r>
        <w:rPr>
          <w:rStyle w:val="30"/>
          <w:rFonts w:ascii="Times New Roman" w:hAnsi="Times New Roman" w:eastAsia="仿宋" w:cs="Times New Roman"/>
          <w:b w:val="0"/>
          <w:bCs w:val="0"/>
        </w:rPr>
        <w:t>十一、</w:t>
      </w:r>
      <w:bookmarkEnd w:id="103"/>
      <w:r>
        <w:rPr>
          <w:rFonts w:ascii="Times New Roman" w:hAnsi="Times New Roman" w:eastAsia="仿宋" w:cs="Times New Roman"/>
          <w:b w:val="0"/>
        </w:rPr>
        <w:t>国</w:t>
      </w:r>
      <w:r>
        <w:rPr>
          <w:rStyle w:val="30"/>
          <w:rFonts w:ascii="Times New Roman" w:hAnsi="Times New Roman" w:eastAsia="仿宋" w:cs="Times New Roman"/>
          <w:b w:val="0"/>
          <w:bCs w:val="0"/>
        </w:rPr>
        <w:t>有资本经营预算财政拨款收入支出决算表</w:t>
      </w:r>
      <w:bookmarkEnd w:id="104"/>
      <w:bookmarkEnd w:id="105"/>
    </w:p>
    <w:p>
      <w:pPr>
        <w:pStyle w:val="4"/>
        <w:rPr>
          <w:rFonts w:ascii="Times New Roman" w:hAnsi="Times New Roman" w:eastAsia="仿宋" w:cs="Times New Roman"/>
        </w:rPr>
      </w:pPr>
      <w:bookmarkStart w:id="106" w:name="_Toc15396630"/>
      <w:bookmarkStart w:id="107" w:name="_Toc22100"/>
      <w:bookmarkStart w:id="108" w:name="_Toc31497"/>
      <w:r>
        <w:rPr>
          <w:rStyle w:val="30"/>
          <w:rFonts w:ascii="Times New Roman" w:hAnsi="Times New Roman" w:eastAsia="仿宋" w:cs="Times New Roman"/>
          <w:b w:val="0"/>
          <w:bCs w:val="0"/>
        </w:rPr>
        <w:t>十二、</w:t>
      </w:r>
      <w:bookmarkEnd w:id="106"/>
      <w:r>
        <w:rPr>
          <w:rStyle w:val="30"/>
          <w:rFonts w:ascii="Times New Roman" w:hAnsi="Times New Roman" w:eastAsia="仿宋" w:cs="Times New Roman"/>
          <w:b w:val="0"/>
          <w:bCs w:val="0"/>
        </w:rPr>
        <w:t>国有资本经营预算财政拨款支出决算表</w:t>
      </w:r>
      <w:bookmarkEnd w:id="107"/>
      <w:bookmarkEnd w:id="108"/>
    </w:p>
    <w:p>
      <w:pPr>
        <w:pStyle w:val="4"/>
        <w:rPr>
          <w:rFonts w:ascii="Times New Roman" w:hAnsi="Times New Roman" w:eastAsia="仿宋" w:cs="Times New Roman"/>
        </w:rPr>
      </w:pPr>
      <w:bookmarkStart w:id="109" w:name="_Toc15396631"/>
      <w:bookmarkStart w:id="110" w:name="_Toc25862"/>
      <w:bookmarkStart w:id="111" w:name="_Toc15340"/>
      <w:r>
        <w:rPr>
          <w:rStyle w:val="30"/>
          <w:rFonts w:ascii="Times New Roman" w:hAnsi="Times New Roman" w:eastAsia="仿宋" w:cs="Times New Roman"/>
          <w:b w:val="0"/>
          <w:bCs w:val="0"/>
        </w:rPr>
        <w:t>十三、</w:t>
      </w:r>
      <w:bookmarkEnd w:id="109"/>
      <w:r>
        <w:rPr>
          <w:rStyle w:val="30"/>
          <w:rFonts w:ascii="Times New Roman" w:hAnsi="Times New Roman" w:eastAsia="仿宋" w:cs="Times New Roman"/>
          <w:b w:val="0"/>
          <w:bCs w:val="0"/>
        </w:rPr>
        <w:t>财政拨款“三公”经费支出决算表</w:t>
      </w:r>
      <w:bookmarkEnd w:id="110"/>
      <w:bookmarkEnd w:id="111"/>
    </w:p>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CD93E9-A470-4E90-A58B-268B761A753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E1F8BAA-05A0-4DE9-A382-0D58ED622072}"/>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A75D8BF3-549D-40A2-94C8-D77564460620}"/>
  </w:font>
  <w:font w:name="仿宋">
    <w:panose1 w:val="02010609060101010101"/>
    <w:charset w:val="86"/>
    <w:family w:val="modern"/>
    <w:pitch w:val="default"/>
    <w:sig w:usb0="800002BF" w:usb1="38CF7CFA" w:usb2="00000016" w:usb3="00000000" w:csb0="00040001" w:csb1="00000000"/>
    <w:embedRegular r:id="rId4" w:fontKey="{EB0D8ACA-658C-4B76-97E3-06B594BC5EEB}"/>
  </w:font>
  <w:font w:name="Arial">
    <w:panose1 w:val="020B0604020202020204"/>
    <w:charset w:val="00"/>
    <w:family w:val="swiss"/>
    <w:pitch w:val="default"/>
    <w:sig w:usb0="E0002EFF" w:usb1="C000785B" w:usb2="00000009" w:usb3="00000000" w:csb0="400001FF" w:csb1="FFFF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embedRegular r:id="rId5" w:fontKey="{B4F518C6-7EA4-473F-BC5D-36938D211105}"/>
  </w:font>
  <w:font w:name="方正仿宋简体">
    <w:panose1 w:val="03000509000000000000"/>
    <w:charset w:val="86"/>
    <w:family w:val="auto"/>
    <w:pitch w:val="default"/>
    <w:sig w:usb0="00000001" w:usb1="080E0000" w:usb2="00000000" w:usb3="00000000" w:csb0="00040000" w:csb1="00000000"/>
    <w:embedRegular r:id="rId6" w:fontKey="{AA5A8CF3-DF20-4856-AD08-C2664AC8F166}"/>
  </w:font>
  <w:font w:name="方正仿宋_GBK">
    <w:panose1 w:val="03000509000000000000"/>
    <w:charset w:val="86"/>
    <w:family w:val="script"/>
    <w:pitch w:val="default"/>
    <w:sig w:usb0="00000001" w:usb1="080E0000" w:usb2="00000000" w:usb3="00000000" w:csb0="00040000" w:csb1="00000000"/>
    <w:embedRegular r:id="rId7" w:fontKey="{328BE0C1-AC16-491A-8BD2-20736AB8AEA5}"/>
  </w:font>
  <w:font w:name="楷体">
    <w:panose1 w:val="02010609060101010101"/>
    <w:charset w:val="86"/>
    <w:family w:val="modern"/>
    <w:pitch w:val="default"/>
    <w:sig w:usb0="800002BF" w:usb1="38CF7CFA" w:usb2="00000016" w:usb3="00000000" w:csb0="00040001" w:csb1="00000000"/>
    <w:embedRegular r:id="rId8" w:fontKey="{CBFA0E5F-B780-414B-88AB-11539C04DC37}"/>
  </w:font>
  <w:font w:name="楷体_GB2312">
    <w:panose1 w:val="02010609030101010101"/>
    <w:charset w:val="86"/>
    <w:family w:val="modern"/>
    <w:pitch w:val="default"/>
    <w:sig w:usb0="00000001" w:usb1="080E0000" w:usb2="00000000" w:usb3="00000000" w:csb0="00040000" w:csb1="00000000"/>
    <w:embedRegular r:id="rId9" w:fontKey="{748C4ABE-73E1-4058-9755-8EE87BF58F8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14</w:t>
                              </w:r>
                              <w:r>
                                <w:fldChar w:fldCharType="end"/>
                              </w:r>
                            </w:p>
                          </w:sdtContent>
                        </w:sdt>
                        <w:p>
                          <w:pPr>
                            <w:pStyle w:val="2"/>
                            <w:spacing w:before="7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14</w:t>
                        </w:r>
                        <w:r>
                          <w:fldChar w:fldCharType="end"/>
                        </w:r>
                      </w:p>
                    </w:sdtContent>
                  </w:sdt>
                  <w:p>
                    <w:pPr>
                      <w:pStyle w:val="2"/>
                      <w:spacing w:before="72"/>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NzliYTYxMGQxMmE1MzQzY2RiOGM1MTM5NTNkOD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4A89"/>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E2B6A"/>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4001E75"/>
    <w:rsid w:val="060E72B0"/>
    <w:rsid w:val="066E0107"/>
    <w:rsid w:val="07996F6E"/>
    <w:rsid w:val="09086811"/>
    <w:rsid w:val="09E216CF"/>
    <w:rsid w:val="0A2032A3"/>
    <w:rsid w:val="0D8E229F"/>
    <w:rsid w:val="0F0071D6"/>
    <w:rsid w:val="0F136F00"/>
    <w:rsid w:val="0F98263C"/>
    <w:rsid w:val="101860EC"/>
    <w:rsid w:val="10C055FF"/>
    <w:rsid w:val="118107EC"/>
    <w:rsid w:val="13D50BC4"/>
    <w:rsid w:val="154B64A6"/>
    <w:rsid w:val="15576767"/>
    <w:rsid w:val="16BB493D"/>
    <w:rsid w:val="16BB723D"/>
    <w:rsid w:val="17410109"/>
    <w:rsid w:val="17683B61"/>
    <w:rsid w:val="18DF2615"/>
    <w:rsid w:val="1BAD248A"/>
    <w:rsid w:val="1BE8440E"/>
    <w:rsid w:val="1D155CEE"/>
    <w:rsid w:val="1E0F2F88"/>
    <w:rsid w:val="1EBC54A9"/>
    <w:rsid w:val="1EE75CB3"/>
    <w:rsid w:val="1FF35744"/>
    <w:rsid w:val="20AB2D01"/>
    <w:rsid w:val="22111940"/>
    <w:rsid w:val="22774366"/>
    <w:rsid w:val="23860B96"/>
    <w:rsid w:val="240371BF"/>
    <w:rsid w:val="26727C5E"/>
    <w:rsid w:val="29FD04D3"/>
    <w:rsid w:val="2C3B4EC1"/>
    <w:rsid w:val="2C8A61B5"/>
    <w:rsid w:val="2CA376BD"/>
    <w:rsid w:val="2D353A38"/>
    <w:rsid w:val="2DF04E50"/>
    <w:rsid w:val="2F040D46"/>
    <w:rsid w:val="319F7F4E"/>
    <w:rsid w:val="3304709D"/>
    <w:rsid w:val="348C4EAD"/>
    <w:rsid w:val="36317AE8"/>
    <w:rsid w:val="36A4650C"/>
    <w:rsid w:val="36AA5135"/>
    <w:rsid w:val="37305656"/>
    <w:rsid w:val="376D39B2"/>
    <w:rsid w:val="37E16F03"/>
    <w:rsid w:val="387602DD"/>
    <w:rsid w:val="38D469F0"/>
    <w:rsid w:val="39804EAE"/>
    <w:rsid w:val="3CD1792F"/>
    <w:rsid w:val="3D98207C"/>
    <w:rsid w:val="3E78745D"/>
    <w:rsid w:val="43EB4E24"/>
    <w:rsid w:val="44E268DA"/>
    <w:rsid w:val="462C5BD6"/>
    <w:rsid w:val="46605E15"/>
    <w:rsid w:val="4A627F82"/>
    <w:rsid w:val="4B0E749A"/>
    <w:rsid w:val="4B4F25DA"/>
    <w:rsid w:val="4BE068DB"/>
    <w:rsid w:val="4D577224"/>
    <w:rsid w:val="4EAB630A"/>
    <w:rsid w:val="4ECE2238"/>
    <w:rsid w:val="51093F65"/>
    <w:rsid w:val="51A27694"/>
    <w:rsid w:val="537E6D0A"/>
    <w:rsid w:val="558A46C7"/>
    <w:rsid w:val="559B2FF3"/>
    <w:rsid w:val="57B974E6"/>
    <w:rsid w:val="58931ADA"/>
    <w:rsid w:val="5AF92295"/>
    <w:rsid w:val="5C732359"/>
    <w:rsid w:val="5CD71FC4"/>
    <w:rsid w:val="64685D42"/>
    <w:rsid w:val="65F242EE"/>
    <w:rsid w:val="66E0683D"/>
    <w:rsid w:val="683F485D"/>
    <w:rsid w:val="6928197E"/>
    <w:rsid w:val="6AD3322F"/>
    <w:rsid w:val="6B1765A5"/>
    <w:rsid w:val="6C4A05C8"/>
    <w:rsid w:val="6D255D74"/>
    <w:rsid w:val="6E4F7358"/>
    <w:rsid w:val="6E7E3605"/>
    <w:rsid w:val="6F391FAB"/>
    <w:rsid w:val="6FF5CC65"/>
    <w:rsid w:val="715C0E4B"/>
    <w:rsid w:val="72734D90"/>
    <w:rsid w:val="73AD73D5"/>
    <w:rsid w:val="73B6EB34"/>
    <w:rsid w:val="744731E5"/>
    <w:rsid w:val="7466104D"/>
    <w:rsid w:val="74F63F29"/>
    <w:rsid w:val="76E3355F"/>
    <w:rsid w:val="778769C8"/>
    <w:rsid w:val="79EE5BA4"/>
    <w:rsid w:val="7A894339"/>
    <w:rsid w:val="7D2D3CBD"/>
    <w:rsid w:val="7E6F60A9"/>
    <w:rsid w:val="7EEF11D3"/>
    <w:rsid w:val="7F413799"/>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30"/>
    </w:rPr>
  </w:style>
  <w:style w:type="paragraph" w:styleId="6">
    <w:name w:val="index 5"/>
    <w:basedOn w:val="1"/>
    <w:next w:val="1"/>
    <w:semiHidden/>
    <w:unhideWhenUsed/>
    <w:qFormat/>
    <w:uiPriority w:val="99"/>
    <w:pPr>
      <w:ind w:left="800" w:leftChars="800"/>
    </w:p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2"/>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next w:val="6"/>
    <w:qFormat/>
    <w:uiPriority w:val="0"/>
    <w:pPr>
      <w:spacing w:before="100" w:beforeAutospacing="1" w:after="100" w:afterAutospacing="1"/>
    </w:pPr>
    <w:rPr>
      <w:rFonts w:ascii="宋体" w:hAnsi="Times New Roman" w:eastAsia="宋体" w:cs="宋体"/>
      <w:sz w:val="24"/>
      <w:szCs w:val="24"/>
      <w:lang w:val="en-US" w:eastAsia="zh-CN" w:bidi="ar-SA"/>
    </w:rPr>
  </w:style>
  <w:style w:type="paragraph" w:styleId="15">
    <w:name w:val="Body Text First Indent 2"/>
    <w:basedOn w:val="7"/>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Char"/>
    <w:link w:val="11"/>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Char"/>
    <w:link w:val="10"/>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Char"/>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7"/>
    <w:link w:val="3"/>
    <w:qFormat/>
    <w:uiPriority w:val="9"/>
    <w:rPr>
      <w:rFonts w:ascii="Times New Roman" w:hAnsi="Times New Roman"/>
      <w:b/>
      <w:bCs/>
      <w:kern w:val="44"/>
      <w:sz w:val="44"/>
      <w:szCs w:val="44"/>
    </w:rPr>
  </w:style>
  <w:style w:type="character" w:customStyle="1" w:styleId="30">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7"/>
    <w:link w:val="9"/>
    <w:semiHidden/>
    <w:qFormat/>
    <w:uiPriority w:val="99"/>
    <w:rPr>
      <w:rFonts w:ascii="Times New Roman" w:hAnsi="Times New Roman"/>
      <w:kern w:val="2"/>
      <w:sz w:val="18"/>
      <w:szCs w:val="18"/>
    </w:rPr>
  </w:style>
  <w:style w:type="character" w:customStyle="1" w:styleId="33">
    <w:name w:val="标题 3 Char"/>
    <w:basedOn w:val="17"/>
    <w:link w:val="5"/>
    <w:qFormat/>
    <w:uiPriority w:val="9"/>
    <w:rPr>
      <w:rFonts w:ascii="Times New Roman" w:hAnsi="Times New Roman"/>
      <w:b/>
      <w:bCs/>
      <w:kern w:val="2"/>
      <w:sz w:val="32"/>
      <w:szCs w:val="32"/>
    </w:rPr>
  </w:style>
  <w:style w:type="paragraph" w:customStyle="1" w:styleId="3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color w:val="000000"/>
      <w:kern w:val="0"/>
      <w:sz w:val="28"/>
      <w:szCs w:val="21"/>
      <w:lang w:val="zh-CN"/>
    </w:rPr>
  </w:style>
  <w:style w:type="paragraph" w:customStyle="1" w:styleId="36">
    <w:name w:val="WPSOffice手动目录 1"/>
    <w:qFormat/>
    <w:uiPriority w:val="0"/>
    <w:rPr>
      <w:rFonts w:asciiTheme="minorHAnsi" w:hAnsiTheme="minorHAnsi" w:eastAsiaTheme="minorEastAsia" w:cstheme="minorBidi"/>
      <w:lang w:val="en-US" w:eastAsia="zh-CN" w:bidi="ar-SA"/>
    </w:rPr>
  </w:style>
  <w:style w:type="paragraph" w:customStyle="1" w:styleId="37">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17</Pages>
  <Words>5824</Words>
  <Characters>2362</Characters>
  <Lines>19</Lines>
  <Paragraphs>16</Paragraphs>
  <TotalTime>5</TotalTime>
  <ScaleCrop>false</ScaleCrop>
  <LinksUpToDate>false</LinksUpToDate>
  <CharactersWithSpaces>8170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Candice</cp:lastModifiedBy>
  <cp:lastPrinted>2023-07-31T02:35:00Z</cp:lastPrinted>
  <dcterms:modified xsi:type="dcterms:W3CDTF">2023-11-29T07:39:07Z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9E9969DA1D60419C882E3233B3B5F43C</vt:lpwstr>
  </property>
</Properties>
</file>