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475"/>
      <w:bookmarkStart w:id="3" w:name="_Toc15377425"/>
      <w:bookmarkStart w:id="4" w:name="_Toc15396597"/>
      <w:bookmarkStart w:id="5" w:name="_Toc15378441"/>
      <w:bookmarkStart w:id="6" w:name="_Toc2415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194"/>
      <w:bookmarkStart w:id="8" w:name="_Toc15377426"/>
      <w:bookmarkStart w:id="9" w:name="_Toc15396476"/>
      <w:bookmarkStart w:id="10" w:name="_Toc30805"/>
      <w:bookmarkStart w:id="11" w:name="_Toc15378442"/>
      <w:bookmarkStart w:id="12" w:name="_Toc15396598"/>
      <w:r>
        <w:rPr>
          <w:rFonts w:hint="eastAsia" w:ascii="方正小标宋简体" w:hAnsi="方正小标宋简体" w:eastAsia="方正小标宋简体" w:cs="方正小标宋简体"/>
          <w:sz w:val="72"/>
          <w:szCs w:val="72"/>
        </w:rPr>
        <w:t>巴中市</w:t>
      </w:r>
      <w:bookmarkEnd w:id="0"/>
      <w:bookmarkStart w:id="13" w:name="_Toc15306268"/>
      <w:r>
        <w:rPr>
          <w:rFonts w:hint="eastAsia" w:ascii="方正小标宋简体" w:hAnsi="方正小标宋简体" w:eastAsia="方正小标宋简体" w:cs="方正小标宋简体"/>
          <w:sz w:val="72"/>
          <w:szCs w:val="72"/>
        </w:rPr>
        <w:t>公路局单位决算</w:t>
      </w:r>
      <w:bookmarkEnd w:id="7"/>
      <w:bookmarkEnd w:id="8"/>
      <w:bookmarkEnd w:id="9"/>
      <w:bookmarkEnd w:id="10"/>
      <w:bookmarkEnd w:id="11"/>
      <w:bookmarkEnd w:id="12"/>
      <w:bookmarkEnd w:id="13"/>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1"/>
      </w:pPr>
      <w:r>
        <w:rPr>
          <w:rFonts w:hint="eastAsia"/>
        </w:rPr>
        <w:t>公开时间：2023年10月13日</w:t>
      </w:r>
    </w:p>
    <w:p/>
    <w:sdt>
      <w:sdtPr>
        <w:rPr>
          <w:rFonts w:ascii="宋体" w:hAnsi="宋体"/>
        </w:rPr>
        <w:id w:val="147460118"/>
      </w:sdtPr>
      <w:sdtEndPr>
        <w:rPr>
          <w:rFonts w:ascii="宋体" w:hAnsi="宋体"/>
          <w:b/>
        </w:rPr>
      </w:sdtEndPr>
      <w:sdtContent>
        <w:p>
          <w:pPr>
            <w:jc w:val="center"/>
            <w:rPr>
              <w:b/>
            </w:rPr>
          </w:pPr>
          <w:r>
            <w:fldChar w:fldCharType="begin"/>
          </w:r>
          <w:r>
            <w:instrText xml:space="preserve">TOC \o "1-2" \h \u </w:instrText>
          </w:r>
          <w:r>
            <w:fldChar w:fldCharType="separate"/>
          </w:r>
        </w:p>
        <w:p>
          <w:pPr>
            <w:pStyle w:val="31"/>
            <w:tabs>
              <w:tab w:val="right" w:leader="dot" w:pos="8306"/>
            </w:tabs>
            <w:rPr>
              <w:rFonts w:ascii="仿宋" w:hAnsi="仿宋" w:eastAsia="仿宋" w:cs="仿宋"/>
              <w:b/>
              <w:sz w:val="24"/>
              <w:szCs w:val="24"/>
            </w:rPr>
          </w:pPr>
          <w:r>
            <w:fldChar w:fldCharType="begin"/>
          </w:r>
          <w:r>
            <w:instrText xml:space="preserve"> HYPERLINK \l "_Toc23931" </w:instrText>
          </w:r>
          <w:r>
            <w:fldChar w:fldCharType="separate"/>
          </w:r>
          <w:r>
            <w:rPr>
              <w:rFonts w:hint="eastAsia" w:ascii="仿宋" w:hAnsi="仿宋" w:eastAsia="仿宋" w:cs="仿宋"/>
              <w:b/>
              <w:sz w:val="24"/>
              <w:szCs w:val="24"/>
            </w:rPr>
            <w:t>第一部分 单位概况</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_Toc23931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"_Toc32385" </w:instrText>
          </w:r>
          <w:r>
            <w:fldChar w:fldCharType="separate"/>
          </w:r>
          <w:r>
            <w:rPr>
              <w:rFonts w:hint="eastAsia" w:ascii="仿宋" w:hAnsi="仿宋" w:eastAsia="仿宋" w:cs="仿宋"/>
              <w:sz w:val="24"/>
              <w:szCs w:val="24"/>
            </w:rPr>
            <w:t>一、 主要职责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_Toc32385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"_Toc27196" </w:instrText>
          </w:r>
          <w:r>
            <w:fldChar w:fldCharType="separate"/>
          </w:r>
          <w:r>
            <w:rPr>
              <w:rFonts w:hint="eastAsia" w:ascii="仿宋" w:hAnsi="仿宋" w:eastAsia="仿宋" w:cs="仿宋"/>
              <w:sz w:val="24"/>
              <w:szCs w:val="24"/>
            </w:rPr>
            <w:t>二、机构设置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_Toc27196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8306"/>
            </w:tabs>
            <w:rPr>
              <w:rFonts w:ascii="仿宋" w:hAnsi="仿宋" w:eastAsia="仿宋" w:cs="仿宋"/>
              <w:b/>
              <w:sz w:val="24"/>
              <w:szCs w:val="24"/>
            </w:rPr>
          </w:pPr>
          <w:r>
            <w:fldChar w:fldCharType="begin"/>
          </w:r>
          <w:r>
            <w:instrText xml:space="preserve"> HYPERLINK \l "_Toc13969" </w:instrText>
          </w:r>
          <w:r>
            <w:fldChar w:fldCharType="separate"/>
          </w:r>
          <w:r>
            <w:rPr>
              <w:rFonts w:hint="eastAsia" w:ascii="仿宋" w:hAnsi="仿宋" w:eastAsia="仿宋" w:cs="仿宋"/>
              <w:b/>
              <w:bCs/>
              <w:sz w:val="24"/>
              <w:szCs w:val="24"/>
            </w:rPr>
            <w:t>第二部分 2022年度单位决算情况说明</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_Toc13969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4</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"_Toc28466" </w:instrText>
          </w:r>
          <w:r>
            <w:fldChar w:fldCharType="separate"/>
          </w:r>
          <w:r>
            <w:rPr>
              <w:rFonts w:hint="eastAsia" w:ascii="仿宋" w:hAnsi="仿宋" w:eastAsia="仿宋" w:cs="仿宋"/>
              <w:sz w:val="24"/>
              <w:szCs w:val="24"/>
            </w:rPr>
            <w:t>一、 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_Toc28466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"_Toc18401" </w:instrText>
          </w:r>
          <w:r>
            <w:fldChar w:fldCharType="separate"/>
          </w:r>
          <w:r>
            <w:rPr>
              <w:rFonts w:hint="eastAsia" w:ascii="仿宋" w:hAnsi="仿宋" w:eastAsia="仿宋" w:cs="仿宋"/>
              <w:sz w:val="24"/>
              <w:szCs w:val="24"/>
            </w:rPr>
            <w:t>二、 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_Toc18401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"_Toc19991" </w:instrText>
          </w:r>
          <w:r>
            <w:fldChar w:fldCharType="separate"/>
          </w:r>
          <w:r>
            <w:rPr>
              <w:rFonts w:hint="eastAsia" w:ascii="仿宋" w:hAnsi="仿宋" w:eastAsia="仿宋" w:cs="仿宋"/>
              <w:sz w:val="24"/>
              <w:szCs w:val="24"/>
            </w:rPr>
            <w:t>三、 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_Toc19991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"_Toc16957" </w:instrText>
          </w:r>
          <w:r>
            <w:fldChar w:fldCharType="separate"/>
          </w:r>
          <w:r>
            <w:rPr>
              <w:rFonts w:hint="eastAsia" w:ascii="仿宋" w:hAnsi="仿宋" w:eastAsia="仿宋" w:cs="仿宋"/>
              <w:sz w:val="24"/>
              <w:szCs w:val="24"/>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_Toc16957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"_Toc21770" </w:instrText>
          </w:r>
          <w:r>
            <w:fldChar w:fldCharType="separate"/>
          </w:r>
          <w:r>
            <w:rPr>
              <w:rFonts w:hint="eastAsia" w:ascii="仿宋" w:hAnsi="仿宋" w:eastAsia="仿宋" w:cs="仿宋"/>
              <w:sz w:val="24"/>
              <w:szCs w:val="24"/>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_Toc21770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"_Toc17223" </w:instrText>
          </w:r>
          <w:r>
            <w:fldChar w:fldCharType="separate"/>
          </w:r>
          <w:r>
            <w:rPr>
              <w:rFonts w:hint="eastAsia" w:ascii="仿宋" w:hAnsi="仿宋" w:eastAsia="仿宋" w:cs="仿宋"/>
              <w:sz w:val="24"/>
              <w:szCs w:val="24"/>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_Toc17223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"_Toc17676" </w:instrText>
          </w:r>
          <w:r>
            <w:fldChar w:fldCharType="separate"/>
          </w:r>
          <w:r>
            <w:rPr>
              <w:rFonts w:hint="eastAsia" w:ascii="仿宋" w:hAnsi="仿宋" w:eastAsia="仿宋" w:cs="仿宋"/>
              <w:sz w:val="24"/>
              <w:szCs w:val="24"/>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_Toc17676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"_Toc21677" </w:instrText>
          </w:r>
          <w:r>
            <w:fldChar w:fldCharType="separate"/>
          </w:r>
          <w:r>
            <w:rPr>
              <w:rFonts w:hint="eastAsia" w:ascii="仿宋" w:hAnsi="仿宋" w:eastAsia="仿宋" w:cs="仿宋"/>
              <w:sz w:val="24"/>
              <w:szCs w:val="24"/>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_Toc21677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"_Toc19310" </w:instrText>
          </w:r>
          <w:r>
            <w:fldChar w:fldCharType="separate"/>
          </w:r>
          <w:r>
            <w:rPr>
              <w:rFonts w:hint="eastAsia" w:ascii="仿宋" w:hAnsi="仿宋" w:eastAsia="仿宋" w:cs="仿宋"/>
              <w:sz w:val="24"/>
              <w:szCs w:val="24"/>
            </w:rPr>
            <w:t>九、 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_Toc19310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"_Toc2285" </w:instrText>
          </w:r>
          <w:r>
            <w:fldChar w:fldCharType="separate"/>
          </w:r>
          <w:r>
            <w:rPr>
              <w:rFonts w:hint="eastAsia" w:ascii="仿宋" w:hAnsi="仿宋" w:eastAsia="仿宋" w:cs="仿宋"/>
              <w:sz w:val="24"/>
              <w:szCs w:val="24"/>
            </w:rPr>
            <w:t>十、 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_Toc2285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8306"/>
            </w:tabs>
            <w:rPr>
              <w:rFonts w:ascii="仿宋" w:hAnsi="仿宋" w:eastAsia="仿宋" w:cs="仿宋"/>
              <w:b/>
              <w:sz w:val="24"/>
              <w:szCs w:val="24"/>
            </w:rPr>
          </w:pPr>
          <w:r>
            <w:fldChar w:fldCharType="begin"/>
          </w:r>
          <w:r>
            <w:instrText xml:space="preserve"> HYPERLINK \l "_Toc29468" </w:instrText>
          </w:r>
          <w:r>
            <w:fldChar w:fldCharType="separate"/>
          </w:r>
          <w:r>
            <w:rPr>
              <w:rFonts w:hint="eastAsia" w:ascii="仿宋" w:hAnsi="仿宋" w:eastAsia="仿宋" w:cs="仿宋"/>
              <w:b/>
              <w:sz w:val="24"/>
              <w:szCs w:val="24"/>
            </w:rPr>
            <w:t>第三部分 名词解释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_Toc29468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12</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1"/>
            <w:tabs>
              <w:tab w:val="right" w:leader="dot" w:pos="8306"/>
            </w:tabs>
            <w:rPr>
              <w:rFonts w:ascii="仿宋" w:hAnsi="仿宋" w:eastAsia="仿宋" w:cs="仿宋"/>
              <w:b/>
              <w:sz w:val="24"/>
              <w:szCs w:val="24"/>
            </w:rPr>
          </w:pPr>
          <w:r>
            <w:fldChar w:fldCharType="begin"/>
          </w:r>
          <w:r>
            <w:instrText xml:space="preserve"> HYPERLINK \l "_Toc29883" </w:instrText>
          </w:r>
          <w:r>
            <w:fldChar w:fldCharType="separate"/>
          </w:r>
          <w:r>
            <w:rPr>
              <w:rFonts w:hint="eastAsia" w:ascii="仿宋" w:hAnsi="仿宋" w:eastAsia="仿宋" w:cs="仿宋"/>
              <w:b/>
              <w:sz w:val="24"/>
              <w:szCs w:val="24"/>
            </w:rPr>
            <w:t>第四部分 附件</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_Toc29883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15</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1"/>
            <w:tabs>
              <w:tab w:val="right" w:leader="dot" w:pos="8306"/>
            </w:tabs>
            <w:rPr>
              <w:rFonts w:ascii="仿宋" w:hAnsi="仿宋" w:eastAsia="仿宋" w:cs="仿宋"/>
              <w:b/>
              <w:sz w:val="24"/>
              <w:szCs w:val="24"/>
            </w:rPr>
          </w:pPr>
          <w:r>
            <w:fldChar w:fldCharType="begin"/>
          </w:r>
          <w:r>
            <w:instrText xml:space="preserve"> HYPERLINK \l "_Toc23972" </w:instrText>
          </w:r>
          <w:r>
            <w:fldChar w:fldCharType="separate"/>
          </w:r>
          <w:r>
            <w:rPr>
              <w:rFonts w:hint="eastAsia" w:ascii="仿宋" w:hAnsi="仿宋" w:eastAsia="仿宋" w:cs="仿宋"/>
              <w:b/>
              <w:sz w:val="24"/>
              <w:szCs w:val="24"/>
            </w:rPr>
            <w:t>第五部分 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_Toc23972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19</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"_Toc16284" </w:instrText>
          </w:r>
          <w:r>
            <w:fldChar w:fldCharType="separate"/>
          </w:r>
          <w:r>
            <w:rPr>
              <w:rFonts w:hint="eastAsia" w:ascii="仿宋" w:hAnsi="仿宋" w:eastAsia="仿宋" w:cs="仿宋"/>
              <w:sz w:val="24"/>
              <w:szCs w:val="24"/>
            </w:rPr>
            <w:t>一、收入支出决算总表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_Toc16284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"_Toc13562" </w:instrText>
          </w:r>
          <w:r>
            <w:fldChar w:fldCharType="separate"/>
          </w:r>
          <w:r>
            <w:rPr>
              <w:rFonts w:hint="eastAsia" w:ascii="仿宋" w:hAnsi="仿宋" w:eastAsia="仿宋" w:cs="仿宋"/>
              <w:sz w:val="24"/>
              <w:szCs w:val="24"/>
            </w:rPr>
            <w:t>二、收入决算表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_Toc13562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"_Toc29633" </w:instrText>
          </w:r>
          <w:r>
            <w:fldChar w:fldCharType="separate"/>
          </w:r>
          <w:r>
            <w:rPr>
              <w:rFonts w:hint="eastAsia" w:ascii="仿宋" w:hAnsi="仿宋" w:eastAsia="仿宋" w:cs="仿宋"/>
              <w:sz w:val="24"/>
              <w:szCs w:val="24"/>
            </w:rPr>
            <w:t>三、支出决算表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_Toc29633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"_Toc18612" </w:instrText>
          </w:r>
          <w:r>
            <w:fldChar w:fldCharType="separate"/>
          </w:r>
          <w:r>
            <w:rPr>
              <w:rFonts w:hint="eastAsia" w:ascii="仿宋" w:hAnsi="仿宋" w:eastAsia="仿宋" w:cs="仿宋"/>
              <w:sz w:val="24"/>
              <w:szCs w:val="24"/>
            </w:rPr>
            <w:t>四、财政拨款收入支出决算总表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_Toc18612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"_Toc3126" </w:instrText>
          </w:r>
          <w:r>
            <w:fldChar w:fldCharType="separate"/>
          </w:r>
          <w:r>
            <w:rPr>
              <w:rFonts w:hint="eastAsia" w:ascii="仿宋" w:hAnsi="仿宋" w:eastAsia="仿宋" w:cs="仿宋"/>
              <w:sz w:val="24"/>
              <w:szCs w:val="24"/>
            </w:rPr>
            <w:t>五、财政拨款支出决算明细表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_Toc3126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"_Toc22549" </w:instrText>
          </w:r>
          <w:r>
            <w:fldChar w:fldCharType="separate"/>
          </w:r>
          <w:r>
            <w:rPr>
              <w:rFonts w:hint="eastAsia" w:ascii="仿宋" w:hAnsi="仿宋" w:eastAsia="仿宋" w:cs="仿宋"/>
              <w:sz w:val="24"/>
              <w:szCs w:val="24"/>
            </w:rPr>
            <w:t>六、一般公共预算财政拨款支出决算表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_Toc22549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"_Toc22772" </w:instrText>
          </w:r>
          <w:r>
            <w:fldChar w:fldCharType="separate"/>
          </w:r>
          <w:r>
            <w:rPr>
              <w:rFonts w:hint="eastAsia" w:ascii="仿宋" w:hAnsi="仿宋" w:eastAsia="仿宋" w:cs="仿宋"/>
              <w:sz w:val="24"/>
              <w:szCs w:val="24"/>
            </w:rPr>
            <w:t>七、一般公共预算财政拨款支出决算明细表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_Toc22772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"_Toc29136" </w:instrText>
          </w:r>
          <w:r>
            <w:fldChar w:fldCharType="separate"/>
          </w:r>
          <w:r>
            <w:rPr>
              <w:rFonts w:hint="eastAsia" w:ascii="仿宋" w:hAnsi="仿宋" w:eastAsia="仿宋" w:cs="仿宋"/>
              <w:sz w:val="24"/>
              <w:szCs w:val="24"/>
            </w:rPr>
            <w:t>八、一般公共预算财政拨款基本支出决算表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_Toc29136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"_Toc14853" </w:instrText>
          </w:r>
          <w:r>
            <w:fldChar w:fldCharType="separate"/>
          </w:r>
          <w:r>
            <w:rPr>
              <w:rFonts w:hint="eastAsia" w:ascii="仿宋" w:hAnsi="仿宋" w:eastAsia="仿宋" w:cs="仿宋"/>
              <w:sz w:val="24"/>
              <w:szCs w:val="24"/>
            </w:rPr>
            <w:t>九、一般公共预算财政拨款项目支出决算表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_Toc14853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"_Toc14713" </w:instrText>
          </w:r>
          <w:r>
            <w:fldChar w:fldCharType="separate"/>
          </w:r>
          <w:r>
            <w:rPr>
              <w:rFonts w:hint="eastAsia" w:ascii="仿宋" w:hAnsi="仿宋" w:eastAsia="仿宋" w:cs="仿宋"/>
              <w:sz w:val="24"/>
              <w:szCs w:val="24"/>
            </w:rPr>
            <w:t>十、政府性基金预算财政拨款收入支出决算表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_Toc14713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"_Toc16785" </w:instrText>
          </w:r>
          <w:r>
            <w:fldChar w:fldCharType="separate"/>
          </w:r>
          <w:r>
            <w:rPr>
              <w:rFonts w:hint="eastAsia" w:ascii="仿宋" w:hAnsi="仿宋" w:eastAsia="仿宋" w:cs="仿宋"/>
              <w:sz w:val="24"/>
              <w:szCs w:val="24"/>
            </w:rPr>
            <w:t>十一、国有资本经营预算财政拨款收入支出决算表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_Toc16785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"_Toc10717" </w:instrText>
          </w:r>
          <w:r>
            <w:fldChar w:fldCharType="separate"/>
          </w:r>
          <w:r>
            <w:rPr>
              <w:rFonts w:hint="eastAsia" w:ascii="仿宋" w:hAnsi="仿宋" w:eastAsia="仿宋" w:cs="仿宋"/>
              <w:sz w:val="24"/>
              <w:szCs w:val="24"/>
            </w:rPr>
            <w:t>十二、国有资本经营预算财政拨款支出决算表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_Toc10717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ind w:left="420"/>
            <w:rPr>
              <w:rFonts w:ascii="仿宋" w:hAnsi="仿宋" w:eastAsia="仿宋" w:cs="仿宋"/>
              <w:sz w:val="24"/>
              <w:szCs w:val="24"/>
            </w:rPr>
          </w:pPr>
          <w:r>
            <w:fldChar w:fldCharType="begin"/>
          </w:r>
          <w:r>
            <w:instrText xml:space="preserve"> HYPERLINK \l "_Toc29550" </w:instrText>
          </w:r>
          <w:r>
            <w:fldChar w:fldCharType="separate"/>
          </w:r>
          <w:r>
            <w:rPr>
              <w:rFonts w:hint="eastAsia" w:ascii="仿宋" w:hAnsi="仿宋" w:eastAsia="仿宋" w:cs="仿宋"/>
              <w:sz w:val="24"/>
              <w:szCs w:val="24"/>
            </w:rPr>
            <w:t>十三、财政拨款“三公”经费支出决算表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_Toc29550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r>
            <w:rPr>
              <w:b/>
            </w:rPr>
            <w:fldChar w:fldCharType="end"/>
          </w:r>
        </w:p>
      </w:sdtContent>
    </w:sdt>
    <w:p>
      <w:pPr>
        <w:widowControl/>
        <w:adjustRightInd w:val="0"/>
        <w:snapToGrid w:val="0"/>
        <w:spacing w:line="440" w:lineRule="exact"/>
        <w:jc w:val="left"/>
        <w:rPr>
          <w:rFonts w:ascii="仿宋" w:hAnsi="仿宋" w:eastAsia="仿宋"/>
          <w:sz w:val="24"/>
          <w:highlight w:val="yellow"/>
        </w:rPr>
      </w:pPr>
    </w:p>
    <w:p>
      <w:pPr>
        <w:widowControl/>
        <w:spacing w:line="440" w:lineRule="exact"/>
        <w:jc w:val="left"/>
        <w:rPr>
          <w:rFonts w:ascii="仿宋" w:hAnsi="仿宋" w:eastAsia="仿宋"/>
          <w:bCs/>
          <w:kern w:val="44"/>
          <w:sz w:val="24"/>
        </w:rPr>
      </w:pPr>
      <w:bookmarkStart w:id="14" w:name="_Toc15377196"/>
      <w:bookmarkStart w:id="15" w:name="_Toc15396599"/>
      <w:r>
        <w:rPr>
          <w:rFonts w:ascii="仿宋" w:hAnsi="仿宋" w:eastAsia="仿宋"/>
          <w:b/>
          <w:sz w:val="24"/>
        </w:rPr>
        <w:br w:type="page"/>
      </w:r>
    </w:p>
    <w:p>
      <w:pPr>
        <w:pStyle w:val="2"/>
        <w:jc w:val="center"/>
        <w:rPr>
          <w:rStyle w:val="25"/>
          <w:rFonts w:ascii="黑体" w:hAnsi="黑体" w:eastAsia="黑体"/>
          <w:b/>
          <w:bCs w:val="0"/>
        </w:rPr>
      </w:pPr>
      <w:bookmarkStart w:id="16" w:name="_Toc23931"/>
      <w:r>
        <w:rPr>
          <w:rFonts w:hint="eastAsia" w:ascii="黑体" w:hAnsi="黑体" w:eastAsia="黑体"/>
          <w:b w:val="0"/>
        </w:rPr>
        <w:t>第一部分 单位</w:t>
      </w:r>
      <w:r>
        <w:rPr>
          <w:rStyle w:val="25"/>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3"/>
        <w:numPr>
          <w:ilvl w:val="0"/>
          <w:numId w:val="1"/>
        </w:numPr>
        <w:rPr>
          <w:rStyle w:val="26"/>
          <w:rFonts w:ascii="黑体" w:hAnsi="黑体" w:eastAsia="黑体"/>
          <w:b w:val="0"/>
          <w:bCs w:val="0"/>
        </w:rPr>
      </w:pPr>
      <w:bookmarkStart w:id="17" w:name="_Toc32385"/>
      <w:bookmarkStart w:id="18" w:name="_Toc15377197"/>
      <w:bookmarkStart w:id="19" w:name="_Toc15396600"/>
      <w:r>
        <w:rPr>
          <w:rStyle w:val="26"/>
          <w:rFonts w:hint="eastAsia" w:ascii="黑体" w:hAnsi="黑体" w:eastAsia="黑体"/>
          <w:b w:val="0"/>
          <w:bCs w:val="0"/>
        </w:rPr>
        <w:t>主要职责</w:t>
      </w:r>
      <w:bookmarkEnd w:id="17"/>
    </w:p>
    <w:p>
      <w:pPr>
        <w:spacing w:line="55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1.贯彻执行国家和地方公路管理法律法规、方针政策、标准规范，编制全市公路养护管理发展规划。</w:t>
      </w:r>
    </w:p>
    <w:p>
      <w:pPr>
        <w:spacing w:line="55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2.负责全市普通国省干线公路建设与养护管理工作。</w:t>
      </w:r>
    </w:p>
    <w:p>
      <w:pPr>
        <w:spacing w:line="55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3.负责全市普通国省干线公路应急保障工作。</w:t>
      </w:r>
    </w:p>
    <w:p>
      <w:pPr>
        <w:spacing w:line="55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4.负责建立和维护管理金市普通国省干线公路监测网络、预报预警体系和全市公路路网信息平台。</w:t>
      </w:r>
    </w:p>
    <w:p>
      <w:pPr>
        <w:spacing w:line="55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5.负责普通国省干线公路安全监督管理，指导全市公路行业安全生产工作。</w:t>
      </w:r>
    </w:p>
    <w:p>
      <w:pPr>
        <w:spacing w:line="55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6.督促、指导和检查全市农村公路建设与养护管理工作。</w:t>
      </w:r>
    </w:p>
    <w:p>
      <w:pPr>
        <w:spacing w:line="550" w:lineRule="exact"/>
        <w:ind w:firstLine="640" w:firstLineChars="200"/>
      </w:pPr>
      <w:r>
        <w:rPr>
          <w:rFonts w:hint="eastAsia" w:ascii="方正仿宋_GB2312" w:hAnsi="方正仿宋_GB2312" w:eastAsia="方正仿宋_GB2312" w:cs="方正仿宋_GB2312"/>
          <w:sz w:val="32"/>
          <w:szCs w:val="32"/>
        </w:rPr>
        <w:t>7.承办市交通运输局交办的其他事项。</w:t>
      </w:r>
    </w:p>
    <w:p>
      <w:pPr>
        <w:pStyle w:val="3"/>
        <w:numPr>
          <w:ilvl w:val="0"/>
          <w:numId w:val="1"/>
        </w:numPr>
        <w:rPr>
          <w:rFonts w:ascii="黑体" w:hAnsi="黑体" w:eastAsia="黑体"/>
          <w:b w:val="0"/>
        </w:rPr>
      </w:pPr>
      <w:bookmarkStart w:id="20" w:name="_Toc27196"/>
      <w:r>
        <w:rPr>
          <w:rFonts w:hint="eastAsia" w:ascii="黑体" w:hAnsi="黑体" w:eastAsia="黑体"/>
          <w:b w:val="0"/>
        </w:rPr>
        <w:t>机构设置</w:t>
      </w:r>
      <w:bookmarkEnd w:id="20"/>
    </w:p>
    <w:p>
      <w:pPr>
        <w:ind w:firstLine="960" w:firstLineChars="3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巴中市公路局为副县级参公管理事业单位，共设置有5个科室，分别为：综合科、财务科、农村公路科、工程养护科、路安科。</w:t>
      </w:r>
    </w:p>
    <w:bookmarkEnd w:id="18"/>
    <w:bookmarkEnd w:id="19"/>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rPr>
          <w:rStyle w:val="25"/>
          <w:rFonts w:ascii="黑体" w:hAnsi="黑体" w:eastAsia="黑体"/>
          <w:b w:val="0"/>
          <w:bCs/>
        </w:rPr>
      </w:pPr>
      <w:bookmarkStart w:id="21" w:name="_Toc15377204"/>
      <w:bookmarkStart w:id="22" w:name="_Toc13969"/>
      <w:bookmarkStart w:id="23"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21"/>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15396603"/>
      <w:bookmarkStart w:id="25" w:name="_Toc28466"/>
      <w:bookmarkStart w:id="26"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2022年度收、支总计4,143.08万元。与2021年相比，收、支总计各减少2,746.91万元，下降39.87</w:t>
      </w:r>
      <w:r>
        <w:rPr>
          <w:rFonts w:ascii="仿宋" w:hAnsi="仿宋" w:eastAsia="仿宋"/>
          <w:sz w:val="32"/>
          <w:szCs w:val="32"/>
        </w:rPr>
        <w:t>%</w:t>
      </w:r>
      <w:r>
        <w:rPr>
          <w:rFonts w:hint="eastAsia" w:ascii="仿宋" w:hAnsi="仿宋" w:eastAsia="仿宋"/>
          <w:sz w:val="32"/>
          <w:szCs w:val="32"/>
        </w:rPr>
        <w:t>。主要变动原因是2022年减少省级交通建设补助资金。</w:t>
      </w:r>
    </w:p>
    <w:p>
      <w:pPr>
        <w:pStyle w:val="5"/>
        <w:ind w:firstLine="420"/>
      </w:pPr>
      <w:r>
        <w:rPr>
          <w:rFonts w:hint="eastAsia"/>
        </w:rPr>
        <w:t xml:space="preserve">     </w:t>
      </w:r>
      <w:r>
        <w:drawing>
          <wp:inline distT="0" distB="0" distL="114300" distR="114300">
            <wp:extent cx="3928745" cy="2146935"/>
            <wp:effectExtent l="4445" t="4445" r="10160" b="2032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7" w:name="_Toc18401"/>
      <w:bookmarkStart w:id="28" w:name="_Toc15396604"/>
      <w:bookmarkStart w:id="29" w:name="_Toc15377206"/>
      <w:r>
        <w:rPr>
          <w:rFonts w:hint="eastAsia" w:ascii="黑体" w:hAnsi="黑体" w:eastAsia="黑体"/>
          <w:sz w:val="32"/>
          <w:szCs w:val="32"/>
        </w:rPr>
        <w:t>收</w:t>
      </w:r>
      <w:r>
        <w:rPr>
          <w:rStyle w:val="26"/>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25556"/>
      <w:r>
        <w:rPr>
          <w:rFonts w:ascii="仿宋" w:hAnsi="仿宋" w:eastAsia="仿宋"/>
          <w:sz w:val="32"/>
          <w:szCs w:val="32"/>
        </w:rPr>
        <w:t>20</w:t>
      </w:r>
      <w:r>
        <w:rPr>
          <w:rFonts w:hint="eastAsia" w:ascii="仿宋" w:hAnsi="仿宋" w:eastAsia="仿宋"/>
          <w:sz w:val="32"/>
          <w:szCs w:val="32"/>
        </w:rPr>
        <w:t>22年本年收入合计4,003.73万元，其中：一般公共预算财政拨款收入4,003.73万元，占100</w:t>
      </w:r>
      <w:r>
        <w:rPr>
          <w:rFonts w:ascii="仿宋" w:hAnsi="仿宋" w:eastAsia="仿宋"/>
          <w:sz w:val="32"/>
          <w:szCs w:val="32"/>
        </w:rPr>
        <w:t>%</w:t>
      </w:r>
      <w:r>
        <w:rPr>
          <w:rFonts w:hint="eastAsia" w:ascii="仿宋" w:hAnsi="仿宋" w:eastAsia="仿宋"/>
          <w:sz w:val="32"/>
          <w:szCs w:val="32"/>
        </w:rPr>
        <w:t>。</w:t>
      </w:r>
      <w:bookmarkEnd w:id="30"/>
    </w:p>
    <w:p>
      <w:pPr>
        <w:pStyle w:val="5"/>
        <w:ind w:firstLine="0" w:firstLineChars="0"/>
        <w:jc w:val="center"/>
      </w:pPr>
      <w:r>
        <w:drawing>
          <wp:inline distT="0" distB="0" distL="114300" distR="114300">
            <wp:extent cx="3883660" cy="2061210"/>
            <wp:effectExtent l="4445" t="4445" r="17145" b="48895"/>
            <wp:docPr id="3" name="图表 2" descr="7b0a202020202263686172745265734964223a2022323034373630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31" w:name="_Toc19991"/>
      <w:bookmarkStart w:id="32" w:name="_Toc15377207"/>
      <w:bookmarkStart w:id="33" w:name="_Toc15396605"/>
      <w:r>
        <w:rPr>
          <w:rFonts w:hint="eastAsia" w:ascii="黑体" w:hAnsi="黑体" w:eastAsia="黑体"/>
          <w:sz w:val="32"/>
          <w:szCs w:val="32"/>
        </w:rPr>
        <w:t>支</w:t>
      </w:r>
      <w:r>
        <w:rPr>
          <w:rStyle w:val="26"/>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 w:hAnsi="仿宋" w:eastAsia="仿宋"/>
          <w:sz w:val="32"/>
          <w:szCs w:val="32"/>
          <w:shd w:val="pct10" w:color="auto" w:fill="FFFFFF"/>
        </w:rPr>
      </w:pPr>
      <w:bookmarkStart w:id="34" w:name="_Toc27580"/>
      <w:r>
        <w:rPr>
          <w:rFonts w:ascii="仿宋" w:hAnsi="仿宋" w:eastAsia="仿宋"/>
          <w:sz w:val="32"/>
          <w:szCs w:val="32"/>
        </w:rPr>
        <w:t>20</w:t>
      </w:r>
      <w:r>
        <w:rPr>
          <w:rFonts w:hint="eastAsia" w:ascii="仿宋" w:hAnsi="仿宋" w:eastAsia="仿宋"/>
          <w:sz w:val="32"/>
          <w:szCs w:val="32"/>
        </w:rPr>
        <w:t>22年本年支出合计4,143.08万元，其中：基本支出494.53万元，占11.9</w:t>
      </w:r>
      <w:r>
        <w:rPr>
          <w:rFonts w:ascii="仿宋" w:hAnsi="仿宋" w:eastAsia="仿宋"/>
          <w:sz w:val="32"/>
          <w:szCs w:val="32"/>
        </w:rPr>
        <w:t>%</w:t>
      </w:r>
      <w:r>
        <w:rPr>
          <w:rFonts w:hint="eastAsia" w:ascii="仿宋" w:hAnsi="仿宋" w:eastAsia="仿宋"/>
          <w:sz w:val="32"/>
          <w:szCs w:val="32"/>
        </w:rPr>
        <w:t>；项目支出3,648.55万元，占88.06</w:t>
      </w:r>
      <w:r>
        <w:rPr>
          <w:rFonts w:ascii="仿宋" w:hAnsi="仿宋" w:eastAsia="仿宋"/>
          <w:sz w:val="32"/>
          <w:szCs w:val="32"/>
        </w:rPr>
        <w:t>%</w:t>
      </w:r>
      <w:r>
        <w:rPr>
          <w:rFonts w:hint="eastAsia" w:ascii="仿宋" w:hAnsi="仿宋" w:eastAsia="仿宋"/>
          <w:sz w:val="32"/>
          <w:szCs w:val="32"/>
        </w:rPr>
        <w:t>。</w:t>
      </w:r>
      <w:bookmarkEnd w:id="34"/>
    </w:p>
    <w:p>
      <w:pPr>
        <w:spacing w:line="600" w:lineRule="exact"/>
        <w:ind w:firstLine="420" w:firstLineChars="20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497205</wp:posOffset>
            </wp:positionH>
            <wp:positionV relativeFrom="page">
              <wp:posOffset>2353310</wp:posOffset>
            </wp:positionV>
            <wp:extent cx="3921760" cy="2482215"/>
            <wp:effectExtent l="4445" t="4445" r="17145" b="46990"/>
            <wp:wrapSquare wrapText="bothSides"/>
            <wp:docPr id="1" name="图表 2" descr="7b0a202020202263686172745265734964223a2022323034373630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6"/>
          <w:rFonts w:ascii="黑体" w:hAnsi="黑体" w:eastAsia="黑体"/>
          <w:b w:val="0"/>
        </w:rPr>
      </w:pPr>
      <w:bookmarkStart w:id="35" w:name="_Toc16957"/>
      <w:bookmarkStart w:id="36" w:name="_Toc15377208"/>
      <w:bookmarkStart w:id="37"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5"/>
      <w:bookmarkEnd w:id="36"/>
      <w:bookmarkEnd w:id="37"/>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22年财政拨款收、支总计4,143.08万元。与</w:t>
      </w:r>
      <w:r>
        <w:rPr>
          <w:rFonts w:ascii="仿宋" w:hAnsi="仿宋" w:eastAsia="仿宋"/>
          <w:sz w:val="32"/>
          <w:szCs w:val="32"/>
        </w:rPr>
        <w:t>20</w:t>
      </w:r>
      <w:r>
        <w:rPr>
          <w:rFonts w:hint="eastAsia" w:ascii="仿宋" w:hAnsi="仿宋" w:eastAsia="仿宋"/>
          <w:sz w:val="32"/>
          <w:szCs w:val="32"/>
        </w:rPr>
        <w:t>21年相比，财政拨款收、支总计各减少2,746.91万元，下降39.87</w:t>
      </w:r>
      <w:r>
        <w:rPr>
          <w:rFonts w:ascii="仿宋" w:hAnsi="仿宋" w:eastAsia="仿宋"/>
          <w:sz w:val="32"/>
          <w:szCs w:val="32"/>
        </w:rPr>
        <w:t>%</w:t>
      </w:r>
      <w:r>
        <w:rPr>
          <w:rFonts w:hint="eastAsia" w:ascii="仿宋" w:hAnsi="仿宋" w:eastAsia="仿宋"/>
          <w:sz w:val="32"/>
          <w:szCs w:val="32"/>
        </w:rPr>
        <w:t>。主要变动原因是2022年减少省级交通建设补助资金。</w:t>
      </w:r>
    </w:p>
    <w:p>
      <w:pPr>
        <w:spacing w:line="600" w:lineRule="exact"/>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560070</wp:posOffset>
            </wp:positionH>
            <wp:positionV relativeFrom="paragraph">
              <wp:posOffset>102235</wp:posOffset>
            </wp:positionV>
            <wp:extent cx="3849370" cy="2126615"/>
            <wp:effectExtent l="4445" t="5080" r="13335" b="20955"/>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38" w:name="_Toc21770"/>
      <w:bookmarkStart w:id="39" w:name="_Toc15377209"/>
      <w:bookmarkStart w:id="40"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r>
        <w:rPr>
          <w:rFonts w:hint="eastAsia" w:ascii="仿宋" w:hAnsi="仿宋" w:eastAsia="仿宋"/>
          <w:b/>
          <w:sz w:val="32"/>
          <w:szCs w:val="32"/>
        </w:rPr>
        <w:t>（一）一般公共预算财政拨款支出决算总体情况</w:t>
      </w:r>
      <w:bookmarkEnd w:id="4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22年一般公共预算财政拨款支出4,143.08万元，占本年支出合计的100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21年相比，减少2,746.91万元，下降39.87</w:t>
      </w:r>
      <w:r>
        <w:rPr>
          <w:rFonts w:ascii="仿宋" w:hAnsi="仿宋" w:eastAsia="仿宋"/>
          <w:sz w:val="32"/>
          <w:szCs w:val="32"/>
        </w:rPr>
        <w:t>%</w:t>
      </w:r>
      <w:r>
        <w:rPr>
          <w:rFonts w:hint="eastAsia" w:ascii="仿宋" w:hAnsi="仿宋" w:eastAsia="仿宋"/>
          <w:sz w:val="32"/>
          <w:szCs w:val="32"/>
        </w:rPr>
        <w:t>。主要变动原因是2022年减少省级交通建设补助资金。</w:t>
      </w:r>
    </w:p>
    <w:p>
      <w:pPr>
        <w:pStyle w:val="5"/>
        <w:ind w:firstLine="420"/>
        <w:rPr>
          <w:rFonts w:ascii="仿宋" w:hAnsi="仿宋" w:eastAsia="仿宋"/>
          <w:sz w:val="32"/>
          <w:szCs w:val="32"/>
        </w:rPr>
      </w:pPr>
      <w:r>
        <w:drawing>
          <wp:inline distT="0" distB="0" distL="114300" distR="114300">
            <wp:extent cx="4387850" cy="2395855"/>
            <wp:effectExtent l="4445" t="5080" r="8255" b="1841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22年一般公共预算财政拨款支出4,143.08万元，主要用于以下方面</w:t>
      </w:r>
      <w:r>
        <w:rPr>
          <w:rFonts w:ascii="仿宋" w:hAnsi="仿宋" w:eastAsia="仿宋"/>
          <w:sz w:val="32"/>
          <w:szCs w:val="32"/>
        </w:rPr>
        <w:t>:</w:t>
      </w:r>
      <w:r>
        <w:rPr>
          <w:rFonts w:hint="eastAsia" w:ascii="仿宋" w:hAnsi="仿宋" w:eastAsia="仿宋"/>
          <w:b/>
          <w:sz w:val="32"/>
          <w:szCs w:val="32"/>
        </w:rPr>
        <w:t>科学技术支出</w:t>
      </w:r>
      <w:r>
        <w:rPr>
          <w:rFonts w:hint="eastAsia" w:ascii="仿宋" w:hAnsi="仿宋" w:eastAsia="仿宋"/>
          <w:sz w:val="32"/>
          <w:szCs w:val="32"/>
        </w:rPr>
        <w:t>3,430.14万元，占82.79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29.17万元，占0.70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21.18万元，占0.51%；</w:t>
      </w:r>
      <w:r>
        <w:rPr>
          <w:rFonts w:hint="eastAsia" w:ascii="仿宋" w:hAnsi="仿宋" w:eastAsia="仿宋"/>
          <w:b/>
          <w:bCs/>
          <w:sz w:val="32"/>
          <w:szCs w:val="32"/>
        </w:rPr>
        <w:t>城乡社区支出</w:t>
      </w:r>
      <w:r>
        <w:rPr>
          <w:rFonts w:hint="eastAsia" w:ascii="仿宋" w:hAnsi="仿宋" w:eastAsia="仿宋"/>
          <w:sz w:val="32"/>
          <w:szCs w:val="32"/>
        </w:rPr>
        <w:t>2.93万元，占0.07%；</w:t>
      </w:r>
      <w:r>
        <w:rPr>
          <w:rFonts w:hint="eastAsia" w:ascii="仿宋" w:hAnsi="仿宋" w:eastAsia="仿宋"/>
          <w:b/>
          <w:bCs/>
          <w:sz w:val="32"/>
          <w:szCs w:val="32"/>
        </w:rPr>
        <w:t>交通运输支出</w:t>
      </w:r>
      <w:r>
        <w:rPr>
          <w:rFonts w:hint="eastAsia" w:ascii="仿宋" w:hAnsi="仿宋" w:eastAsia="仿宋"/>
          <w:sz w:val="32"/>
          <w:szCs w:val="32"/>
        </w:rPr>
        <w:t>627.39万元，占15.15%；</w:t>
      </w:r>
      <w:r>
        <w:rPr>
          <w:rFonts w:hint="eastAsia" w:ascii="仿宋" w:hAnsi="仿宋" w:eastAsia="仿宋"/>
          <w:b/>
          <w:bCs/>
          <w:sz w:val="32"/>
          <w:szCs w:val="32"/>
        </w:rPr>
        <w:t>住房保障支出</w:t>
      </w:r>
      <w:r>
        <w:rPr>
          <w:rFonts w:hint="eastAsia" w:ascii="仿宋" w:hAnsi="仿宋" w:eastAsia="仿宋"/>
          <w:sz w:val="32"/>
          <w:szCs w:val="32"/>
        </w:rPr>
        <w:t>32.28万元，占0.78</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61312" behindDoc="0" locked="0" layoutInCell="1" allowOverlap="1">
            <wp:simplePos x="0" y="0"/>
            <wp:positionH relativeFrom="column">
              <wp:posOffset>381635</wp:posOffset>
            </wp:positionH>
            <wp:positionV relativeFrom="page">
              <wp:posOffset>939165</wp:posOffset>
            </wp:positionV>
            <wp:extent cx="4032250" cy="2277110"/>
            <wp:effectExtent l="4445" t="4445" r="20955" b="61595"/>
            <wp:wrapSquare wrapText="bothSides"/>
            <wp:docPr id="6" name="图表 2" descr="7b0a202020202263686172745265734964223a2022323034373630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43" w:name="_Toc15377212"/>
      <w:r>
        <w:rPr>
          <w:rFonts w:hint="eastAsia" w:ascii="仿宋" w:hAnsi="仿宋" w:eastAsia="仿宋"/>
          <w:b/>
          <w:sz w:val="32"/>
          <w:szCs w:val="32"/>
        </w:rPr>
        <w:t>（三）一般公共预算财政拨款支出决算具体情况</w:t>
      </w:r>
      <w:bookmarkEnd w:id="43"/>
    </w:p>
    <w:p>
      <w:pPr>
        <w:spacing w:line="600" w:lineRule="exact"/>
        <w:ind w:firstLine="643" w:firstLineChars="200"/>
        <w:outlineLvl w:val="1"/>
        <w:rPr>
          <w:rFonts w:ascii="仿宋" w:hAnsi="仿宋" w:eastAsia="仿宋"/>
          <w:sz w:val="32"/>
          <w:szCs w:val="32"/>
        </w:rPr>
      </w:pPr>
      <w:bookmarkStart w:id="44" w:name="_Toc15377444"/>
      <w:bookmarkStart w:id="45" w:name="_Toc15378460"/>
      <w:bookmarkStart w:id="46" w:name="_Toc19529"/>
      <w:bookmarkStart w:id="47" w:name="_Toc15377213"/>
      <w:r>
        <w:rPr>
          <w:rFonts w:hint="eastAsia" w:ascii="仿宋" w:hAnsi="仿宋" w:eastAsia="仿宋"/>
          <w:b/>
          <w:sz w:val="32"/>
          <w:szCs w:val="32"/>
        </w:rPr>
        <w:t>2022年一般公共预算支出决算数为4,143.08万元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44"/>
      <w:bookmarkEnd w:id="45"/>
      <w:bookmarkEnd w:id="46"/>
      <w:bookmarkEnd w:id="47"/>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科学技术支出（类）科技交流与合作（款）其他科技交流与合作支出（项）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支出决算为3,430.14万元，完成预算100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社会保障和就业支出（类）行政事业单位养老支出（款）机关事业单位基本养老保险缴费支出（项）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支出决算为25.95万元，完成预算100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3.</w:t>
      </w:r>
      <w:r>
        <w:rPr>
          <w:rStyle w:val="15"/>
          <w:rFonts w:hint="eastAsia" w:ascii="仿宋" w:hAnsi="仿宋" w:eastAsia="仿宋"/>
          <w:bCs/>
          <w:sz w:val="32"/>
          <w:szCs w:val="32"/>
        </w:rPr>
        <w:t>社会保障和就业支出（类）行政事业单位养老支出（款）其他行政事业单位养老支出（项）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支出决算为0.58万元，完成预算100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4.</w:t>
      </w:r>
      <w:r>
        <w:rPr>
          <w:rStyle w:val="15"/>
          <w:rFonts w:hint="eastAsia" w:ascii="仿宋" w:hAnsi="仿宋" w:eastAsia="仿宋"/>
          <w:bCs/>
          <w:sz w:val="32"/>
          <w:szCs w:val="32"/>
        </w:rPr>
        <w:t>社会保障和就业支出（类）抚恤（款）死亡抚恤（项）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支出决算为2.64万元，完成预算100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5.</w:t>
      </w:r>
      <w:r>
        <w:rPr>
          <w:rStyle w:val="15"/>
          <w:rFonts w:hint="eastAsia" w:ascii="仿宋" w:hAnsi="仿宋" w:eastAsia="仿宋"/>
          <w:bCs/>
          <w:sz w:val="32"/>
          <w:szCs w:val="32"/>
        </w:rPr>
        <w:t>卫生健康支出（类）行政事业单位医疗（款）行政单位医疗（项）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支出决算为15.07万元，完成预算100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6.</w:t>
      </w:r>
      <w:r>
        <w:rPr>
          <w:rFonts w:hint="eastAsia" w:ascii="仿宋" w:hAnsi="仿宋" w:eastAsia="仿宋"/>
          <w:b/>
          <w:bCs/>
          <w:sz w:val="32"/>
          <w:szCs w:val="32"/>
        </w:rPr>
        <w:t>卫生健康支出</w:t>
      </w:r>
      <w:r>
        <w:rPr>
          <w:rStyle w:val="15"/>
          <w:rFonts w:hint="eastAsia" w:ascii="仿宋" w:hAnsi="仿宋" w:eastAsia="仿宋"/>
          <w:bCs/>
          <w:sz w:val="32"/>
          <w:szCs w:val="32"/>
        </w:rPr>
        <w:t>（类）行政事业单位医疗（款）公务员医疗补助（项）</w:t>
      </w:r>
      <w:r>
        <w:rPr>
          <w:rStyle w:val="15"/>
          <w:rFonts w:ascii="仿宋" w:hAnsi="仿宋" w:eastAsia="仿宋"/>
          <w:bCs/>
          <w:sz w:val="32"/>
          <w:szCs w:val="32"/>
        </w:rPr>
        <w:t>:</w:t>
      </w:r>
      <w:r>
        <w:rPr>
          <w:rStyle w:val="15"/>
          <w:rFonts w:hint="eastAsia" w:ascii="仿宋" w:hAnsi="仿宋" w:eastAsia="仿宋"/>
          <w:b w:val="0"/>
          <w:bCs/>
          <w:sz w:val="32"/>
          <w:szCs w:val="32"/>
        </w:rPr>
        <w:t>支出决算为3.19万元，完成预算100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7</w:t>
      </w:r>
      <w:r>
        <w:rPr>
          <w:rStyle w:val="15"/>
          <w:rFonts w:ascii="仿宋" w:hAnsi="仿宋" w:eastAsia="仿宋"/>
          <w:bCs/>
          <w:sz w:val="32"/>
          <w:szCs w:val="32"/>
        </w:rPr>
        <w:t>.</w:t>
      </w:r>
      <w:r>
        <w:rPr>
          <w:rFonts w:hint="eastAsia" w:ascii="仿宋" w:hAnsi="仿宋" w:eastAsia="仿宋"/>
          <w:b/>
          <w:bCs/>
          <w:sz w:val="32"/>
          <w:szCs w:val="32"/>
        </w:rPr>
        <w:t>卫生健康支出</w:t>
      </w:r>
      <w:r>
        <w:rPr>
          <w:rStyle w:val="15"/>
          <w:rFonts w:hint="eastAsia" w:ascii="仿宋" w:hAnsi="仿宋" w:eastAsia="仿宋"/>
          <w:bCs/>
          <w:sz w:val="32"/>
          <w:szCs w:val="32"/>
        </w:rPr>
        <w:t>（类）行政事业单位医疗（款）其他行政事业单位医疗支出（项）</w:t>
      </w:r>
      <w:r>
        <w:rPr>
          <w:rStyle w:val="15"/>
          <w:rFonts w:ascii="仿宋" w:hAnsi="仿宋" w:eastAsia="仿宋"/>
          <w:bCs/>
          <w:sz w:val="32"/>
          <w:szCs w:val="32"/>
        </w:rPr>
        <w:t>:</w:t>
      </w:r>
      <w:r>
        <w:rPr>
          <w:rStyle w:val="15"/>
          <w:rFonts w:hint="eastAsia" w:ascii="仿宋" w:hAnsi="仿宋" w:eastAsia="仿宋"/>
          <w:b w:val="0"/>
          <w:bCs/>
          <w:sz w:val="32"/>
          <w:szCs w:val="32"/>
        </w:rPr>
        <w:t>支出决算为2.92万元，完成预算100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8</w:t>
      </w:r>
      <w:r>
        <w:rPr>
          <w:rStyle w:val="15"/>
          <w:rFonts w:ascii="仿宋" w:hAnsi="仿宋" w:eastAsia="仿宋"/>
          <w:bCs/>
          <w:sz w:val="32"/>
          <w:szCs w:val="32"/>
        </w:rPr>
        <w:t>.</w:t>
      </w:r>
      <w:r>
        <w:rPr>
          <w:rFonts w:hint="eastAsia" w:ascii="仿宋" w:hAnsi="仿宋" w:eastAsia="仿宋"/>
          <w:b/>
          <w:bCs/>
          <w:sz w:val="32"/>
          <w:szCs w:val="32"/>
        </w:rPr>
        <w:t>城乡社区支出</w:t>
      </w:r>
      <w:r>
        <w:rPr>
          <w:rStyle w:val="15"/>
          <w:rFonts w:hint="eastAsia" w:ascii="仿宋" w:hAnsi="仿宋" w:eastAsia="仿宋"/>
          <w:bCs/>
          <w:sz w:val="32"/>
          <w:szCs w:val="32"/>
        </w:rPr>
        <w:t>（类）城乡社区管理事务（款）行政运行（项）</w:t>
      </w:r>
      <w:r>
        <w:rPr>
          <w:rStyle w:val="15"/>
          <w:rFonts w:ascii="仿宋" w:hAnsi="仿宋" w:eastAsia="仿宋"/>
          <w:bCs/>
          <w:sz w:val="32"/>
          <w:szCs w:val="32"/>
        </w:rPr>
        <w:t>:</w:t>
      </w:r>
      <w:r>
        <w:rPr>
          <w:rStyle w:val="15"/>
          <w:rFonts w:hint="eastAsia" w:ascii="仿宋" w:hAnsi="仿宋" w:eastAsia="仿宋"/>
          <w:b w:val="0"/>
          <w:bCs/>
          <w:sz w:val="32"/>
          <w:szCs w:val="32"/>
        </w:rPr>
        <w:t>支出决算为2.93万元，完成预算100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9</w:t>
      </w:r>
      <w:r>
        <w:rPr>
          <w:rStyle w:val="15"/>
          <w:rFonts w:ascii="仿宋" w:hAnsi="仿宋" w:eastAsia="仿宋"/>
          <w:bCs/>
          <w:sz w:val="32"/>
          <w:szCs w:val="32"/>
        </w:rPr>
        <w:t>.</w:t>
      </w:r>
      <w:r>
        <w:rPr>
          <w:rFonts w:hint="eastAsia" w:ascii="仿宋" w:hAnsi="仿宋" w:eastAsia="仿宋"/>
          <w:b/>
          <w:bCs/>
          <w:sz w:val="32"/>
          <w:szCs w:val="32"/>
        </w:rPr>
        <w:t>交通运输支出</w:t>
      </w:r>
      <w:r>
        <w:rPr>
          <w:rStyle w:val="15"/>
          <w:rFonts w:hint="eastAsia" w:ascii="仿宋" w:hAnsi="仿宋" w:eastAsia="仿宋"/>
          <w:bCs/>
          <w:sz w:val="32"/>
          <w:szCs w:val="32"/>
        </w:rPr>
        <w:t>（类）公路水路运输（款）行政运行（项）</w:t>
      </w:r>
      <w:r>
        <w:rPr>
          <w:rStyle w:val="15"/>
          <w:rFonts w:ascii="仿宋" w:hAnsi="仿宋" w:eastAsia="仿宋"/>
          <w:bCs/>
          <w:sz w:val="32"/>
          <w:szCs w:val="32"/>
        </w:rPr>
        <w:t>:</w:t>
      </w:r>
      <w:r>
        <w:rPr>
          <w:rStyle w:val="15"/>
          <w:rFonts w:hint="eastAsia" w:ascii="仿宋" w:hAnsi="仿宋" w:eastAsia="仿宋"/>
          <w:b w:val="0"/>
          <w:bCs/>
          <w:sz w:val="32"/>
          <w:szCs w:val="32"/>
        </w:rPr>
        <w:t>支出决算为409.56万元，完成预算100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10</w:t>
      </w:r>
      <w:r>
        <w:rPr>
          <w:rStyle w:val="15"/>
          <w:rFonts w:ascii="仿宋" w:hAnsi="仿宋" w:eastAsia="仿宋"/>
          <w:bCs/>
          <w:sz w:val="32"/>
          <w:szCs w:val="32"/>
        </w:rPr>
        <w:t>.</w:t>
      </w:r>
      <w:r>
        <w:rPr>
          <w:rFonts w:hint="eastAsia" w:ascii="仿宋" w:hAnsi="仿宋" w:eastAsia="仿宋"/>
          <w:b/>
          <w:bCs/>
          <w:sz w:val="32"/>
          <w:szCs w:val="32"/>
        </w:rPr>
        <w:t>交通运输支出</w:t>
      </w:r>
      <w:r>
        <w:rPr>
          <w:rStyle w:val="15"/>
          <w:rFonts w:hint="eastAsia" w:ascii="仿宋" w:hAnsi="仿宋" w:eastAsia="仿宋"/>
          <w:bCs/>
          <w:sz w:val="32"/>
          <w:szCs w:val="32"/>
        </w:rPr>
        <w:t>（类）公路水路运输（款）其他公路水路运输支出（项）</w:t>
      </w:r>
      <w:r>
        <w:rPr>
          <w:rStyle w:val="15"/>
          <w:rFonts w:ascii="仿宋" w:hAnsi="仿宋" w:eastAsia="仿宋"/>
          <w:bCs/>
          <w:sz w:val="32"/>
          <w:szCs w:val="32"/>
        </w:rPr>
        <w:t>:</w:t>
      </w:r>
      <w:r>
        <w:rPr>
          <w:rStyle w:val="15"/>
          <w:rFonts w:hint="eastAsia" w:ascii="仿宋" w:hAnsi="仿宋" w:eastAsia="仿宋"/>
          <w:b w:val="0"/>
          <w:bCs/>
          <w:sz w:val="32"/>
          <w:szCs w:val="32"/>
        </w:rPr>
        <w:t>支出决算为88.85万元，完成预算100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11</w:t>
      </w:r>
      <w:r>
        <w:rPr>
          <w:rStyle w:val="15"/>
          <w:rFonts w:ascii="仿宋" w:hAnsi="仿宋" w:eastAsia="仿宋"/>
          <w:bCs/>
          <w:sz w:val="32"/>
          <w:szCs w:val="32"/>
        </w:rPr>
        <w:t>.</w:t>
      </w:r>
      <w:r>
        <w:rPr>
          <w:rFonts w:hint="eastAsia" w:ascii="仿宋" w:hAnsi="仿宋" w:eastAsia="仿宋"/>
          <w:b/>
          <w:bCs/>
          <w:sz w:val="32"/>
          <w:szCs w:val="32"/>
        </w:rPr>
        <w:t>交通运输支出</w:t>
      </w:r>
      <w:r>
        <w:rPr>
          <w:rStyle w:val="15"/>
          <w:rFonts w:hint="eastAsia" w:ascii="仿宋" w:hAnsi="仿宋" w:eastAsia="仿宋"/>
          <w:bCs/>
          <w:sz w:val="32"/>
          <w:szCs w:val="32"/>
        </w:rPr>
        <w:t>（类）车辆购置税支出（款）车辆购置税其他支出（项）</w:t>
      </w:r>
      <w:r>
        <w:rPr>
          <w:rStyle w:val="15"/>
          <w:rFonts w:ascii="仿宋" w:hAnsi="仿宋" w:eastAsia="仿宋"/>
          <w:bCs/>
          <w:sz w:val="32"/>
          <w:szCs w:val="32"/>
        </w:rPr>
        <w:t>:</w:t>
      </w:r>
      <w:r>
        <w:rPr>
          <w:rStyle w:val="15"/>
          <w:rFonts w:hint="eastAsia" w:ascii="仿宋" w:hAnsi="仿宋" w:eastAsia="仿宋"/>
          <w:b w:val="0"/>
          <w:bCs/>
          <w:sz w:val="32"/>
          <w:szCs w:val="32"/>
        </w:rPr>
        <w:t>支出决算为128.98万元，完成预算100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12</w:t>
      </w:r>
      <w:r>
        <w:rPr>
          <w:rStyle w:val="15"/>
          <w:rFonts w:ascii="仿宋" w:hAnsi="仿宋" w:eastAsia="仿宋"/>
          <w:bCs/>
          <w:sz w:val="32"/>
          <w:szCs w:val="32"/>
        </w:rPr>
        <w:t>.</w:t>
      </w:r>
      <w:r>
        <w:rPr>
          <w:rFonts w:hint="eastAsia" w:ascii="仿宋" w:hAnsi="仿宋" w:eastAsia="仿宋"/>
          <w:b/>
          <w:bCs/>
          <w:sz w:val="32"/>
          <w:szCs w:val="32"/>
        </w:rPr>
        <w:t>住房保障支出</w:t>
      </w:r>
      <w:r>
        <w:rPr>
          <w:rStyle w:val="15"/>
          <w:rFonts w:hint="eastAsia" w:ascii="仿宋" w:hAnsi="仿宋" w:eastAsia="仿宋"/>
          <w:bCs/>
          <w:sz w:val="32"/>
          <w:szCs w:val="32"/>
        </w:rPr>
        <w:t>（类）住房改革支出（款）住房公积金（项）</w:t>
      </w:r>
      <w:r>
        <w:rPr>
          <w:rStyle w:val="15"/>
          <w:rFonts w:ascii="仿宋" w:hAnsi="仿宋" w:eastAsia="仿宋"/>
          <w:bCs/>
          <w:sz w:val="32"/>
          <w:szCs w:val="32"/>
        </w:rPr>
        <w:t>:</w:t>
      </w:r>
      <w:r>
        <w:rPr>
          <w:rStyle w:val="15"/>
          <w:rFonts w:hint="eastAsia" w:ascii="仿宋" w:hAnsi="仿宋" w:eastAsia="仿宋"/>
          <w:b w:val="0"/>
          <w:bCs/>
          <w:sz w:val="32"/>
          <w:szCs w:val="32"/>
        </w:rPr>
        <w:t>支出决算为32.28万元，完成预算100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8" w:name="_Toc17223"/>
      <w:bookmarkStart w:id="49" w:name="_Toc15396608"/>
      <w:bookmarkStart w:id="5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8"/>
      <w:bookmarkEnd w:id="49"/>
      <w:bookmarkEnd w:id="50"/>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22年一般公共预算财政拨款基本支出494.53万元，其中：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424.59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69.94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51" w:name="_Toc15377215"/>
      <w:bookmarkStart w:id="52" w:name="_Toc17676"/>
      <w:bookmarkStart w:id="53"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51"/>
      <w:bookmarkEnd w:id="52"/>
      <w:bookmarkEnd w:id="53"/>
    </w:p>
    <w:p>
      <w:pPr>
        <w:spacing w:line="600" w:lineRule="exact"/>
        <w:ind w:firstLine="640"/>
        <w:outlineLvl w:val="2"/>
        <w:rPr>
          <w:rFonts w:ascii="仿宋" w:hAnsi="仿宋" w:eastAsia="仿宋"/>
          <w:b/>
          <w:sz w:val="32"/>
          <w:szCs w:val="32"/>
        </w:rPr>
      </w:pPr>
      <w:bookmarkStart w:id="54" w:name="_Toc15377216"/>
      <w:r>
        <w:rPr>
          <w:rFonts w:hint="eastAsia" w:ascii="仿宋" w:hAnsi="仿宋" w:eastAsia="仿宋"/>
          <w:b/>
          <w:sz w:val="32"/>
          <w:szCs w:val="32"/>
        </w:rPr>
        <w:t>（一）“三公”经费财政拨款支出决算总体情况说明</w:t>
      </w:r>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22年“三公”经费财政拨款支出决算为8.38万元，完成预算100</w:t>
      </w:r>
      <w:r>
        <w:rPr>
          <w:rFonts w:ascii="仿宋" w:hAnsi="仿宋" w:eastAsia="仿宋"/>
          <w:sz w:val="32"/>
          <w:szCs w:val="32"/>
        </w:rPr>
        <w:t>%</w:t>
      </w:r>
      <w:r>
        <w:rPr>
          <w:rFonts w:hint="eastAsia" w:ascii="仿宋" w:hAnsi="仿宋" w:eastAsia="仿宋"/>
          <w:sz w:val="32"/>
          <w:szCs w:val="32"/>
        </w:rPr>
        <w:t>，较上年减少0.76万元，下降8.32%。</w:t>
      </w:r>
    </w:p>
    <w:p>
      <w:pPr>
        <w:spacing w:line="600" w:lineRule="exact"/>
        <w:ind w:firstLine="640"/>
        <w:outlineLvl w:val="2"/>
        <w:rPr>
          <w:rFonts w:ascii="仿宋" w:hAnsi="仿宋" w:eastAsia="仿宋"/>
          <w:b/>
          <w:sz w:val="32"/>
          <w:szCs w:val="32"/>
        </w:rPr>
      </w:pPr>
      <w:bookmarkStart w:id="55" w:name="_Toc15377217"/>
      <w:r>
        <w:rPr>
          <w:rFonts w:hint="eastAsia" w:ascii="仿宋" w:hAnsi="仿宋" w:eastAsia="仿宋"/>
          <w:b/>
          <w:sz w:val="32"/>
          <w:szCs w:val="32"/>
        </w:rPr>
        <w:t>（二）“三公”经费财政拨款支出决算具体情况说明</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；公务用车购置及运行维护费支出决算7.80万元，占93.08</w:t>
      </w:r>
      <w:r>
        <w:rPr>
          <w:rFonts w:ascii="仿宋" w:hAnsi="仿宋" w:eastAsia="仿宋"/>
          <w:sz w:val="32"/>
          <w:szCs w:val="32"/>
        </w:rPr>
        <w:t>%</w:t>
      </w:r>
      <w:r>
        <w:rPr>
          <w:rFonts w:hint="eastAsia" w:ascii="仿宋" w:hAnsi="仿宋" w:eastAsia="仿宋"/>
          <w:sz w:val="32"/>
          <w:szCs w:val="32"/>
        </w:rPr>
        <w:t>；公务接待费支出决算0.58万元，占6.92</w:t>
      </w:r>
      <w:r>
        <w:rPr>
          <w:rFonts w:ascii="仿宋" w:hAnsi="仿宋" w:eastAsia="仿宋"/>
          <w:sz w:val="32"/>
          <w:szCs w:val="32"/>
        </w:rPr>
        <w:t>%</w:t>
      </w:r>
      <w:r>
        <w:rPr>
          <w:rFonts w:hint="eastAsia" w:ascii="仿宋" w:hAnsi="仿宋" w:eastAsia="仿宋"/>
          <w:sz w:val="32"/>
          <w:szCs w:val="32"/>
        </w:rPr>
        <w:t>。具体情况如下：</w:t>
      </w:r>
    </w:p>
    <w:p>
      <w:pPr>
        <w:pStyle w:val="5"/>
        <w:ind w:firstLine="420"/>
      </w:pPr>
      <w:r>
        <w:drawing>
          <wp:anchor distT="0" distB="0" distL="114300" distR="114300" simplePos="0" relativeHeight="251662336" behindDoc="0" locked="0" layoutInCell="1" allowOverlap="1">
            <wp:simplePos x="0" y="0"/>
            <wp:positionH relativeFrom="column">
              <wp:posOffset>521335</wp:posOffset>
            </wp:positionH>
            <wp:positionV relativeFrom="paragraph">
              <wp:posOffset>161290</wp:posOffset>
            </wp:positionV>
            <wp:extent cx="3723640" cy="2022475"/>
            <wp:effectExtent l="4445" t="4445" r="5715" b="49530"/>
            <wp:wrapSquare wrapText="bothSides"/>
            <wp:docPr id="7" name="图表 2" descr="7b0a202020202263686172745265734964223a2022323034373630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320" w:firstLineChars="10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7.80万元,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21年无变动。</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p>
    <w:p>
      <w:pPr>
        <w:widowControl/>
        <w:ind w:firstLine="643" w:firstLineChars="200"/>
        <w:jc w:val="left"/>
      </w:pPr>
      <w:r>
        <w:rPr>
          <w:rFonts w:hint="eastAsia" w:ascii="仿宋_GB2312" w:eastAsia="仿宋_GB2312"/>
          <w:b/>
          <w:sz w:val="32"/>
          <w:szCs w:val="32"/>
        </w:rPr>
        <w:t>公务用车运行维护费支出</w:t>
      </w:r>
      <w:r>
        <w:rPr>
          <w:rFonts w:hint="eastAsia" w:ascii="仿宋_GB2312" w:eastAsia="仿宋_GB2312"/>
          <w:sz w:val="32"/>
          <w:szCs w:val="32"/>
        </w:rPr>
        <w:t>7.80万元。</w:t>
      </w:r>
      <w:r>
        <w:rPr>
          <w:rFonts w:ascii="仿宋_GB2312" w:hAnsi="宋体" w:eastAsia="仿宋_GB2312" w:cs="仿宋_GB2312"/>
          <w:color w:val="000000"/>
          <w:kern w:val="0"/>
          <w:sz w:val="31"/>
          <w:szCs w:val="31"/>
          <w:lang w:bidi="ar"/>
        </w:rPr>
        <w:t>主要用于对国省干</w:t>
      </w:r>
    </w:p>
    <w:p>
      <w:pPr>
        <w:widowControl/>
        <w:jc w:val="left"/>
      </w:pPr>
      <w:r>
        <w:rPr>
          <w:rFonts w:hint="eastAsia" w:ascii="仿宋_GB2312" w:hAnsi="宋体" w:eastAsia="仿宋_GB2312" w:cs="仿宋_GB2312"/>
          <w:color w:val="000000"/>
          <w:kern w:val="0"/>
          <w:sz w:val="31"/>
          <w:szCs w:val="31"/>
          <w:lang w:bidi="ar"/>
        </w:rPr>
        <w:t xml:space="preserve">线公路、农村公路的日常督查、安全巡查及对县区养护工作 </w:t>
      </w:r>
    </w:p>
    <w:p>
      <w:pPr>
        <w:widowControl/>
        <w:jc w:val="left"/>
      </w:pPr>
      <w:r>
        <w:rPr>
          <w:rFonts w:hint="eastAsia" w:ascii="仿宋_GB2312" w:hAnsi="宋体" w:eastAsia="仿宋_GB2312" w:cs="仿宋_GB2312"/>
          <w:color w:val="000000"/>
          <w:kern w:val="0"/>
          <w:sz w:val="31"/>
          <w:szCs w:val="31"/>
          <w:lang w:bidi="ar"/>
        </w:rPr>
        <w:t xml:space="preserve">的指导等所需的公务用车燃料费、维修费、过路过桥费、保 </w:t>
      </w:r>
    </w:p>
    <w:p>
      <w:pPr>
        <w:widowControl/>
        <w:jc w:val="left"/>
        <w:rPr>
          <w:rFonts w:ascii="仿宋_GB2312" w:eastAsia="仿宋_GB2312"/>
          <w:sz w:val="32"/>
          <w:szCs w:val="32"/>
        </w:rPr>
      </w:pPr>
      <w:r>
        <w:rPr>
          <w:rFonts w:hint="eastAsia" w:ascii="仿宋_GB2312" w:hAnsi="宋体" w:eastAsia="仿宋_GB2312" w:cs="仿宋_GB2312"/>
          <w:color w:val="000000"/>
          <w:kern w:val="0"/>
          <w:sz w:val="31"/>
          <w:szCs w:val="31"/>
          <w:lang w:bidi="ar"/>
        </w:rPr>
        <w:t>险费等支出。</w:t>
      </w:r>
    </w:p>
    <w:p>
      <w:pPr>
        <w:widowControl/>
        <w:ind w:firstLine="643" w:firstLineChars="200"/>
        <w:jc w:val="left"/>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0.58万元，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21年减少0.76万元，下降56.72</w:t>
      </w:r>
      <w:r>
        <w:rPr>
          <w:rFonts w:ascii="仿宋_GB2312" w:eastAsia="仿宋_GB2312"/>
          <w:sz w:val="32"/>
          <w:szCs w:val="32"/>
        </w:rPr>
        <w:t>%</w:t>
      </w:r>
      <w:r>
        <w:rPr>
          <w:rFonts w:hint="eastAsia" w:ascii="仿宋_GB2312" w:eastAsia="仿宋_GB2312"/>
          <w:sz w:val="32"/>
          <w:szCs w:val="32"/>
        </w:rPr>
        <w:t>。主要</w:t>
      </w:r>
      <w:r>
        <w:rPr>
          <w:rFonts w:hint="eastAsia" w:ascii="仿宋_GB2312" w:eastAsia="仿宋_GB2312"/>
          <w:sz w:val="32"/>
          <w:szCs w:val="32"/>
          <w:lang w:eastAsia="zh-CN"/>
        </w:rPr>
        <w:t>原因是</w:t>
      </w:r>
      <w:r>
        <w:rPr>
          <w:rFonts w:ascii="仿宋" w:hAnsi="仿宋" w:eastAsia="仿宋" w:cs="仿宋"/>
          <w:color w:val="000000"/>
          <w:kern w:val="0"/>
          <w:sz w:val="31"/>
          <w:szCs w:val="31"/>
          <w:lang w:bidi="ar"/>
        </w:rPr>
        <w:t>厉行节俭</w:t>
      </w:r>
      <w:r>
        <w:rPr>
          <w:rFonts w:hint="eastAsia" w:ascii="仿宋" w:hAnsi="仿宋" w:eastAsia="仿宋" w:cs="仿宋"/>
          <w:color w:val="000000"/>
          <w:kern w:val="0"/>
          <w:sz w:val="31"/>
          <w:szCs w:val="31"/>
          <w:lang w:bidi="ar"/>
        </w:rPr>
        <w:t>，缩减“三公”经费支出</w:t>
      </w:r>
      <w:r>
        <w:rPr>
          <w:rFonts w:hint="eastAsia" w:ascii="仿宋_GB2312" w:eastAsia="仿宋_GB2312"/>
          <w:sz w:val="32"/>
          <w:szCs w:val="32"/>
        </w:rPr>
        <w:t>。其中：</w:t>
      </w:r>
    </w:p>
    <w:p>
      <w:pPr>
        <w:widowControl/>
        <w:jc w:val="left"/>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0.58</w:t>
      </w:r>
      <w:r>
        <w:rPr>
          <w:rFonts w:hint="eastAsia" w:ascii="仿宋_GB2312" w:eastAsia="仿宋_GB2312"/>
          <w:sz w:val="32"/>
          <w:szCs w:val="32"/>
        </w:rPr>
        <w:t>万元，</w:t>
      </w:r>
      <w:r>
        <w:rPr>
          <w:rFonts w:ascii="仿宋_GB2312" w:hAnsi="宋体" w:eastAsia="仿宋_GB2312" w:cs="仿宋_GB2312"/>
          <w:color w:val="000000"/>
          <w:kern w:val="0"/>
          <w:sz w:val="31"/>
          <w:szCs w:val="31"/>
          <w:lang w:bidi="ar"/>
        </w:rPr>
        <w:t>主要用于接待上级部门检</w:t>
      </w:r>
      <w:r>
        <w:rPr>
          <w:rFonts w:hint="eastAsia" w:ascii="仿宋_GB2312" w:hAnsi="宋体" w:eastAsia="仿宋_GB2312" w:cs="仿宋_GB2312"/>
          <w:color w:val="000000"/>
          <w:kern w:val="0"/>
          <w:sz w:val="31"/>
          <w:szCs w:val="31"/>
          <w:lang w:bidi="ar"/>
        </w:rPr>
        <w:t>查指导相关工作，及友好市级单位来巴考察学习的用餐费用</w:t>
      </w:r>
      <w:r>
        <w:rPr>
          <w:rFonts w:hint="eastAsia" w:ascii="仿宋_GB2312" w:eastAsia="仿宋_GB2312"/>
          <w:sz w:val="32"/>
          <w:szCs w:val="32"/>
        </w:rPr>
        <w:t>。国内公务接待35批次，75人次（不包括陪同人员），共计支出0.58万元。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56" w:name="_Toc15377218"/>
      <w:bookmarkStart w:id="57" w:name="_Toc15396610"/>
    </w:p>
    <w:p>
      <w:pPr>
        <w:spacing w:line="600" w:lineRule="exact"/>
        <w:ind w:firstLine="640"/>
        <w:outlineLvl w:val="1"/>
        <w:rPr>
          <w:rStyle w:val="26"/>
          <w:rFonts w:ascii="黑体" w:hAnsi="黑体" w:eastAsia="黑体"/>
        </w:rPr>
      </w:pPr>
      <w:bookmarkStart w:id="58" w:name="_Toc21677"/>
      <w:r>
        <w:rPr>
          <w:rFonts w:hint="eastAsia" w:ascii="黑体" w:eastAsia="黑体"/>
          <w:sz w:val="32"/>
          <w:szCs w:val="32"/>
        </w:rPr>
        <w:t>八、</w:t>
      </w:r>
      <w:r>
        <w:rPr>
          <w:rStyle w:val="26"/>
          <w:rFonts w:hint="eastAsia" w:ascii="黑体" w:hAnsi="黑体" w:eastAsia="黑体"/>
          <w:b w:val="0"/>
        </w:rPr>
        <w:t>政府性基金预算支出决算情况说明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6"/>
          <w:rFonts w:ascii="黑体" w:hAnsi="黑体" w:eastAsia="黑体"/>
          <w:b w:val="0"/>
        </w:rPr>
      </w:pPr>
      <w:bookmarkStart w:id="59" w:name="_Toc15396611"/>
      <w:bookmarkStart w:id="60" w:name="_Toc15377219"/>
      <w:bookmarkStart w:id="61" w:name="_Toc19310"/>
      <w:r>
        <w:rPr>
          <w:rStyle w:val="26"/>
          <w:rFonts w:hint="eastAsia" w:ascii="黑体" w:hAnsi="黑体" w:eastAsia="黑体"/>
          <w:b w:val="0"/>
        </w:rPr>
        <w:t>国有资本经营预算支出决算情况说明</w:t>
      </w:r>
      <w:bookmarkEnd w:id="59"/>
      <w:bookmarkEnd w:id="60"/>
      <w:bookmarkEnd w:id="6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62" w:name="_Toc2285"/>
      <w:bookmarkStart w:id="63" w:name="_Toc15377221"/>
      <w:bookmarkStart w:id="64" w:name="_Toc15396612"/>
      <w:r>
        <w:rPr>
          <w:rStyle w:val="26"/>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widowControl/>
        <w:ind w:firstLine="640" w:firstLineChars="200"/>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22年，巴中市公路局机关运行经费支出69.94万元，比</w:t>
      </w:r>
      <w:r>
        <w:rPr>
          <w:rFonts w:ascii="仿宋_GB2312" w:eastAsia="仿宋_GB2312"/>
          <w:sz w:val="32"/>
          <w:szCs w:val="32"/>
        </w:rPr>
        <w:t>20</w:t>
      </w:r>
      <w:r>
        <w:rPr>
          <w:rFonts w:hint="eastAsia" w:ascii="仿宋_GB2312" w:eastAsia="仿宋_GB2312"/>
          <w:sz w:val="32"/>
          <w:szCs w:val="32"/>
        </w:rPr>
        <w:t>21年增加1.39万元，增长2.02</w:t>
      </w:r>
      <w:r>
        <w:rPr>
          <w:rFonts w:ascii="仿宋_GB2312" w:eastAsia="仿宋_GB2312"/>
          <w:sz w:val="32"/>
          <w:szCs w:val="32"/>
        </w:rPr>
        <w:t>%</w:t>
      </w:r>
      <w:r>
        <w:rPr>
          <w:rFonts w:hint="eastAsia" w:ascii="仿宋_GB2312" w:eastAsia="仿宋_GB2312"/>
          <w:sz w:val="32"/>
          <w:szCs w:val="32"/>
        </w:rPr>
        <w:t>。主要原因是2022年增加</w:t>
      </w:r>
      <w:r>
        <w:rPr>
          <w:rFonts w:ascii="仿宋_GB2312" w:hAnsi="宋体" w:eastAsia="仿宋_GB2312" w:cs="仿宋_GB2312"/>
          <w:color w:val="000000"/>
          <w:kern w:val="0"/>
          <w:sz w:val="31"/>
          <w:szCs w:val="31"/>
          <w:lang w:bidi="ar"/>
        </w:rPr>
        <w:t>对国省干</w:t>
      </w:r>
      <w:r>
        <w:rPr>
          <w:rFonts w:hint="eastAsia" w:ascii="仿宋_GB2312" w:hAnsi="宋体" w:eastAsia="仿宋_GB2312" w:cs="仿宋_GB2312"/>
          <w:color w:val="000000"/>
          <w:kern w:val="0"/>
          <w:sz w:val="31"/>
          <w:szCs w:val="31"/>
          <w:lang w:bidi="ar"/>
        </w:rPr>
        <w:t>线公路、农村公路的日常督查、安全巡查及对县区养护工作，增加办公经费。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22年，巴中市公路局政府采购支出总额0万元，其中：政府采购货物支出0万元、政府采购工程支出0万元、政府采购服务支出0万元。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日，巴中市共有车辆2辆，其中：主要领导干部用车0辆、机要通信用车0辆、应急保障用车2辆、其他用车0辆。单价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6"/>
        <w:spacing w:before="93"/>
        <w:ind w:firstLine="640" w:firstLineChars="200"/>
        <w:rPr>
          <w:highlight w:val="yellow"/>
        </w:rPr>
      </w:pPr>
      <w:r>
        <w:rPr>
          <w:rFonts w:hint="eastAsia" w:hAnsi="仿宋_GB2312" w:cs="仿宋_GB2312"/>
          <w:sz w:val="32"/>
          <w:szCs w:val="32"/>
        </w:rPr>
        <w:t>根据预算绩效管理要求，本单位在2022年度预算编制阶段，组织对公路网命名编号调整工作管理经费项目等9个项目开展了预算事前绩效评估，对9个项目编制了绩效目标，预算执行过程中，选取9个项目开展绩效监控，组织对9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68" w:name="_Toc15377225"/>
      <w:bookmarkStart w:id="69" w:name="_Toc29468"/>
      <w:bookmarkStart w:id="70" w:name="_Toc15396613"/>
      <w:r>
        <w:rPr>
          <w:rFonts w:hint="eastAsia" w:ascii="黑体" w:hAnsi="黑体" w:eastAsia="黑体"/>
          <w:sz w:val="44"/>
          <w:szCs w:val="44"/>
        </w:rPr>
        <w:t>名</w:t>
      </w:r>
      <w:r>
        <w:rPr>
          <w:rStyle w:val="25"/>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widowControl/>
        <w:ind w:firstLine="620" w:firstLineChars="200"/>
        <w:jc w:val="left"/>
      </w:pPr>
      <w:r>
        <w:rPr>
          <w:color w:val="000000"/>
          <w:kern w:val="0"/>
          <w:sz w:val="31"/>
          <w:szCs w:val="31"/>
          <w:lang w:bidi="ar"/>
        </w:rPr>
        <w:t>1.</w:t>
      </w:r>
      <w:r>
        <w:rPr>
          <w:rFonts w:ascii="仿宋_GB2312" w:hAnsi="宋体" w:eastAsia="仿宋_GB2312" w:cs="仿宋_GB2312"/>
          <w:color w:val="000000"/>
          <w:kern w:val="0"/>
          <w:sz w:val="31"/>
          <w:szCs w:val="31"/>
          <w:lang w:bidi="ar"/>
        </w:rPr>
        <w:t xml:space="preserve">财政拨款收入：指单位从同级财政部门取得的财政预 </w:t>
      </w:r>
    </w:p>
    <w:p>
      <w:pPr>
        <w:widowControl/>
        <w:jc w:val="left"/>
      </w:pPr>
      <w:r>
        <w:rPr>
          <w:rFonts w:hint="eastAsia" w:ascii="仿宋_GB2312" w:hAnsi="宋体" w:eastAsia="仿宋_GB2312" w:cs="仿宋_GB2312"/>
          <w:color w:val="000000"/>
          <w:kern w:val="0"/>
          <w:sz w:val="31"/>
          <w:szCs w:val="31"/>
          <w:lang w:bidi="ar"/>
        </w:rPr>
        <w:t xml:space="preserve">算资金。 </w:t>
      </w:r>
    </w:p>
    <w:p>
      <w:pPr>
        <w:widowControl/>
        <w:ind w:firstLine="620" w:firstLineChars="200"/>
        <w:jc w:val="left"/>
      </w:pPr>
      <w:r>
        <w:rPr>
          <w:color w:val="000000"/>
          <w:kern w:val="0"/>
          <w:sz w:val="31"/>
          <w:szCs w:val="31"/>
          <w:lang w:bidi="ar"/>
        </w:rPr>
        <w:t>2.</w:t>
      </w:r>
      <w:r>
        <w:rPr>
          <w:rFonts w:hint="eastAsia" w:ascii="仿宋_GB2312" w:hAnsi="宋体" w:eastAsia="仿宋_GB2312" w:cs="仿宋_GB2312"/>
          <w:color w:val="000000"/>
          <w:kern w:val="0"/>
          <w:sz w:val="31"/>
          <w:szCs w:val="31"/>
          <w:lang w:bidi="ar"/>
        </w:rPr>
        <w:t xml:space="preserve">年初结转和结余：指以前年度尚未完成、结转到本年 </w:t>
      </w:r>
    </w:p>
    <w:p>
      <w:pPr>
        <w:widowControl/>
        <w:jc w:val="left"/>
      </w:pPr>
      <w:r>
        <w:rPr>
          <w:rFonts w:hint="eastAsia" w:ascii="仿宋_GB2312" w:hAnsi="宋体" w:eastAsia="仿宋_GB2312" w:cs="仿宋_GB2312"/>
          <w:color w:val="000000"/>
          <w:kern w:val="0"/>
          <w:sz w:val="31"/>
          <w:szCs w:val="31"/>
          <w:lang w:bidi="ar"/>
        </w:rPr>
        <w:t xml:space="preserve">按有关规定继续使用的资金。 </w:t>
      </w:r>
    </w:p>
    <w:p>
      <w:pPr>
        <w:widowControl/>
        <w:ind w:firstLine="620" w:firstLineChars="200"/>
        <w:jc w:val="left"/>
      </w:pPr>
      <w:r>
        <w:rPr>
          <w:color w:val="000000"/>
          <w:kern w:val="0"/>
          <w:sz w:val="31"/>
          <w:szCs w:val="31"/>
          <w:lang w:bidi="ar"/>
        </w:rPr>
        <w:t>3</w:t>
      </w:r>
      <w:r>
        <w:rPr>
          <w:rFonts w:hint="eastAsia"/>
          <w:color w:val="000000"/>
          <w:kern w:val="0"/>
          <w:sz w:val="31"/>
          <w:szCs w:val="31"/>
          <w:lang w:bidi="ar"/>
        </w:rPr>
        <w:t>.</w:t>
      </w:r>
      <w:r>
        <w:rPr>
          <w:rFonts w:hint="eastAsia" w:ascii="仿宋_GB2312" w:hAnsi="宋体" w:eastAsia="仿宋_GB2312" w:cs="仿宋_GB2312"/>
          <w:color w:val="000000"/>
          <w:kern w:val="0"/>
          <w:sz w:val="31"/>
          <w:szCs w:val="31"/>
          <w:lang w:bidi="ar"/>
        </w:rPr>
        <w:t xml:space="preserve">年末结转和结余：指单位按有关规定结转到下年或 </w:t>
      </w:r>
    </w:p>
    <w:p>
      <w:pPr>
        <w:widowControl/>
        <w:jc w:val="left"/>
      </w:pPr>
      <w:r>
        <w:rPr>
          <w:rFonts w:hint="eastAsia" w:ascii="仿宋_GB2312" w:hAnsi="宋体" w:eastAsia="仿宋_GB2312" w:cs="仿宋_GB2312"/>
          <w:color w:val="000000"/>
          <w:kern w:val="0"/>
          <w:sz w:val="31"/>
          <w:szCs w:val="31"/>
          <w:lang w:bidi="ar"/>
        </w:rPr>
        <w:t xml:space="preserve">以后年度继续使用的资金。  </w:t>
      </w:r>
    </w:p>
    <w:p>
      <w:pPr>
        <w:widowControl/>
        <w:ind w:firstLine="620" w:firstLineChars="200"/>
        <w:jc w:val="left"/>
      </w:pPr>
      <w:r>
        <w:rPr>
          <w:rFonts w:hint="eastAsia"/>
          <w:color w:val="000000"/>
          <w:kern w:val="0"/>
          <w:sz w:val="31"/>
          <w:szCs w:val="31"/>
          <w:lang w:bidi="ar"/>
        </w:rPr>
        <w:t>4</w:t>
      </w:r>
      <w:r>
        <w:rPr>
          <w:color w:val="000000"/>
          <w:kern w:val="0"/>
          <w:sz w:val="31"/>
          <w:szCs w:val="31"/>
          <w:lang w:bidi="ar"/>
        </w:rPr>
        <w:t>.</w:t>
      </w:r>
      <w:r>
        <w:rPr>
          <w:rFonts w:ascii="仿宋" w:hAnsi="仿宋" w:eastAsia="仿宋" w:cs="仿宋"/>
          <w:color w:val="000000"/>
          <w:kern w:val="0"/>
          <w:sz w:val="31"/>
          <w:szCs w:val="31"/>
          <w:lang w:bidi="ar"/>
        </w:rPr>
        <w:t xml:space="preserve">社会保障和就业支出（类）行政事业单位养老支出（款） </w:t>
      </w:r>
    </w:p>
    <w:p>
      <w:pPr>
        <w:widowControl/>
        <w:jc w:val="left"/>
      </w:pPr>
      <w:r>
        <w:rPr>
          <w:rFonts w:hint="eastAsia" w:ascii="仿宋" w:hAnsi="仿宋" w:eastAsia="仿宋" w:cs="仿宋"/>
          <w:color w:val="000000"/>
          <w:kern w:val="0"/>
          <w:sz w:val="31"/>
          <w:szCs w:val="31"/>
          <w:lang w:bidi="ar"/>
        </w:rPr>
        <w:t>行政单位离退休（项）</w:t>
      </w:r>
      <w:r>
        <w:rPr>
          <w:color w:val="000000"/>
          <w:kern w:val="0"/>
          <w:sz w:val="31"/>
          <w:szCs w:val="31"/>
          <w:lang w:bidi="ar"/>
        </w:rPr>
        <w:t>:</w:t>
      </w:r>
      <w:r>
        <w:rPr>
          <w:rFonts w:hint="eastAsia" w:ascii="仿宋" w:hAnsi="仿宋" w:eastAsia="仿宋" w:cs="仿宋"/>
          <w:color w:val="000000"/>
          <w:kern w:val="0"/>
          <w:sz w:val="31"/>
          <w:szCs w:val="31"/>
          <w:lang w:bidi="ar"/>
        </w:rPr>
        <w:t xml:space="preserve">指行政单位（包括实行公务员管理的 </w:t>
      </w:r>
    </w:p>
    <w:p>
      <w:pPr>
        <w:widowControl/>
        <w:jc w:val="left"/>
      </w:pPr>
      <w:r>
        <w:rPr>
          <w:rFonts w:hint="eastAsia" w:ascii="仿宋" w:hAnsi="仿宋" w:eastAsia="仿宋" w:cs="仿宋"/>
          <w:color w:val="000000"/>
          <w:kern w:val="0"/>
          <w:sz w:val="31"/>
          <w:szCs w:val="31"/>
          <w:lang w:bidi="ar"/>
        </w:rPr>
        <w:t xml:space="preserve">事业单位））开支的离退休经费。 </w:t>
      </w:r>
    </w:p>
    <w:p>
      <w:pPr>
        <w:widowControl/>
        <w:ind w:firstLine="620" w:firstLineChars="200"/>
        <w:jc w:val="left"/>
      </w:pPr>
      <w:r>
        <w:rPr>
          <w:rFonts w:hint="eastAsia"/>
          <w:color w:val="000000"/>
          <w:kern w:val="0"/>
          <w:sz w:val="31"/>
          <w:szCs w:val="31"/>
          <w:lang w:bidi="ar"/>
        </w:rPr>
        <w:t>5</w:t>
      </w:r>
      <w:r>
        <w:rPr>
          <w:color w:val="000000"/>
          <w:kern w:val="0"/>
          <w:sz w:val="31"/>
          <w:szCs w:val="31"/>
          <w:lang w:bidi="ar"/>
        </w:rPr>
        <w:t>.</w:t>
      </w:r>
      <w:r>
        <w:rPr>
          <w:rFonts w:hint="eastAsia" w:ascii="仿宋" w:hAnsi="仿宋" w:eastAsia="仿宋" w:cs="仿宋"/>
          <w:color w:val="000000"/>
          <w:kern w:val="0"/>
          <w:sz w:val="31"/>
          <w:szCs w:val="31"/>
          <w:lang w:bidi="ar"/>
        </w:rPr>
        <w:t xml:space="preserve">社会保障和就业支出（类）行政事业单位养老支出（款） </w:t>
      </w:r>
    </w:p>
    <w:p>
      <w:pPr>
        <w:widowControl/>
        <w:jc w:val="left"/>
      </w:pPr>
      <w:r>
        <w:rPr>
          <w:rFonts w:hint="eastAsia" w:ascii="仿宋" w:hAnsi="仿宋" w:eastAsia="仿宋" w:cs="仿宋"/>
          <w:color w:val="000000"/>
          <w:kern w:val="0"/>
          <w:sz w:val="31"/>
          <w:szCs w:val="31"/>
          <w:lang w:bidi="ar"/>
        </w:rPr>
        <w:t>机关事业单位基本养老保险缴费（项）</w:t>
      </w:r>
      <w:r>
        <w:rPr>
          <w:color w:val="000000"/>
          <w:kern w:val="0"/>
          <w:sz w:val="31"/>
          <w:szCs w:val="31"/>
          <w:lang w:bidi="ar"/>
        </w:rPr>
        <w:t>:</w:t>
      </w:r>
      <w:r>
        <w:rPr>
          <w:rFonts w:hint="eastAsia" w:ascii="仿宋" w:hAnsi="仿宋" w:eastAsia="仿宋" w:cs="仿宋"/>
          <w:color w:val="000000"/>
          <w:kern w:val="0"/>
          <w:sz w:val="31"/>
          <w:szCs w:val="31"/>
          <w:lang w:bidi="ar"/>
        </w:rPr>
        <w:t xml:space="preserve">指机关事业单位实施 </w:t>
      </w:r>
    </w:p>
    <w:p>
      <w:pPr>
        <w:widowControl/>
        <w:jc w:val="left"/>
      </w:pPr>
      <w:r>
        <w:rPr>
          <w:rFonts w:hint="eastAsia" w:ascii="仿宋" w:hAnsi="仿宋" w:eastAsia="仿宋" w:cs="仿宋"/>
          <w:color w:val="000000"/>
          <w:kern w:val="0"/>
          <w:sz w:val="31"/>
          <w:szCs w:val="31"/>
          <w:lang w:bidi="ar"/>
        </w:rPr>
        <w:t xml:space="preserve">养老保险制度由单位缴纳的基本养老保险费支出。 </w:t>
      </w:r>
    </w:p>
    <w:p>
      <w:pPr>
        <w:widowControl/>
        <w:ind w:firstLine="620" w:firstLineChars="200"/>
        <w:jc w:val="left"/>
      </w:pPr>
      <w:r>
        <w:rPr>
          <w:rFonts w:hint="eastAsia"/>
          <w:color w:val="000000"/>
          <w:kern w:val="0"/>
          <w:sz w:val="31"/>
          <w:szCs w:val="31"/>
          <w:lang w:bidi="ar"/>
        </w:rPr>
        <w:t>6</w:t>
      </w:r>
      <w:r>
        <w:rPr>
          <w:color w:val="000000"/>
          <w:kern w:val="0"/>
          <w:sz w:val="31"/>
          <w:szCs w:val="31"/>
          <w:lang w:bidi="ar"/>
        </w:rPr>
        <w:t>.</w:t>
      </w:r>
      <w:r>
        <w:rPr>
          <w:rFonts w:hint="eastAsia" w:ascii="仿宋" w:hAnsi="仿宋" w:eastAsia="仿宋" w:cs="仿宋"/>
          <w:color w:val="000000"/>
          <w:kern w:val="0"/>
          <w:sz w:val="31"/>
          <w:szCs w:val="31"/>
          <w:lang w:bidi="ar"/>
        </w:rPr>
        <w:t xml:space="preserve">社会保障和就业支出（类）行政事业单位养老支出（款） </w:t>
      </w:r>
    </w:p>
    <w:p>
      <w:pPr>
        <w:widowControl/>
        <w:jc w:val="left"/>
      </w:pPr>
      <w:r>
        <w:rPr>
          <w:rFonts w:hint="eastAsia" w:ascii="仿宋" w:hAnsi="仿宋" w:eastAsia="仿宋" w:cs="仿宋"/>
          <w:color w:val="000000"/>
          <w:kern w:val="0"/>
          <w:sz w:val="31"/>
          <w:szCs w:val="31"/>
          <w:lang w:bidi="ar"/>
        </w:rPr>
        <w:t>其他行政事业单位养老支出（项）</w:t>
      </w:r>
      <w:r>
        <w:rPr>
          <w:color w:val="000000"/>
          <w:kern w:val="0"/>
          <w:sz w:val="31"/>
          <w:szCs w:val="31"/>
          <w:lang w:bidi="ar"/>
        </w:rPr>
        <w:t>:</w:t>
      </w:r>
      <w:r>
        <w:rPr>
          <w:rFonts w:hint="eastAsia" w:ascii="仿宋" w:hAnsi="仿宋" w:eastAsia="仿宋" w:cs="仿宋"/>
          <w:color w:val="000000"/>
          <w:kern w:val="0"/>
          <w:sz w:val="31"/>
          <w:szCs w:val="31"/>
          <w:lang w:bidi="ar"/>
        </w:rPr>
        <w:t xml:space="preserve">指其他用于行政事业单位 </w:t>
      </w:r>
    </w:p>
    <w:p>
      <w:pPr>
        <w:widowControl/>
        <w:jc w:val="left"/>
      </w:pPr>
      <w:r>
        <w:rPr>
          <w:rFonts w:hint="eastAsia" w:ascii="仿宋" w:hAnsi="仿宋" w:eastAsia="仿宋" w:cs="仿宋"/>
          <w:color w:val="000000"/>
          <w:kern w:val="0"/>
          <w:sz w:val="31"/>
          <w:szCs w:val="31"/>
          <w:lang w:bidi="ar"/>
        </w:rPr>
        <w:t xml:space="preserve">养老方面的支出。 </w:t>
      </w:r>
    </w:p>
    <w:p>
      <w:pPr>
        <w:widowControl/>
        <w:ind w:firstLine="620" w:firstLineChars="200"/>
        <w:jc w:val="left"/>
      </w:pPr>
      <w:r>
        <w:rPr>
          <w:rFonts w:hint="eastAsia"/>
          <w:color w:val="000000"/>
          <w:kern w:val="0"/>
          <w:sz w:val="31"/>
          <w:szCs w:val="31"/>
          <w:lang w:bidi="ar"/>
        </w:rPr>
        <w:t>7</w:t>
      </w:r>
      <w:r>
        <w:rPr>
          <w:color w:val="000000"/>
          <w:kern w:val="0"/>
          <w:sz w:val="31"/>
          <w:szCs w:val="31"/>
          <w:lang w:bidi="ar"/>
        </w:rPr>
        <w:t>.</w:t>
      </w:r>
      <w:r>
        <w:rPr>
          <w:rFonts w:hint="eastAsia" w:ascii="仿宋" w:hAnsi="仿宋" w:eastAsia="仿宋" w:cs="仿宋"/>
          <w:color w:val="000000"/>
          <w:kern w:val="0"/>
          <w:sz w:val="31"/>
          <w:szCs w:val="31"/>
          <w:lang w:bidi="ar"/>
        </w:rPr>
        <w:t>社会保障和就业支出（类）抚恤（款）死亡抚恤（项）</w:t>
      </w:r>
      <w:r>
        <w:rPr>
          <w:color w:val="000000"/>
          <w:kern w:val="0"/>
          <w:sz w:val="31"/>
          <w:szCs w:val="31"/>
          <w:lang w:bidi="ar"/>
        </w:rPr>
        <w:t xml:space="preserve">: </w:t>
      </w:r>
      <w:r>
        <w:rPr>
          <w:rFonts w:hint="eastAsia" w:ascii="仿宋" w:hAnsi="仿宋" w:eastAsia="仿宋" w:cs="仿宋"/>
          <w:color w:val="000000"/>
          <w:kern w:val="0"/>
          <w:sz w:val="31"/>
          <w:szCs w:val="31"/>
          <w:lang w:bidi="ar"/>
        </w:rPr>
        <w:t xml:space="preserve">指按规定用于烈士和牺牲、病故人员家属的定期抚恤金。 </w:t>
      </w:r>
    </w:p>
    <w:p>
      <w:pPr>
        <w:widowControl/>
        <w:ind w:firstLine="620" w:firstLineChars="200"/>
        <w:jc w:val="left"/>
      </w:pPr>
      <w:r>
        <w:rPr>
          <w:rFonts w:hint="eastAsia"/>
          <w:color w:val="000000"/>
          <w:kern w:val="0"/>
          <w:sz w:val="31"/>
          <w:szCs w:val="31"/>
          <w:lang w:bidi="ar"/>
        </w:rPr>
        <w:t>8</w:t>
      </w:r>
      <w:r>
        <w:rPr>
          <w:color w:val="000000"/>
          <w:kern w:val="0"/>
          <w:sz w:val="31"/>
          <w:szCs w:val="31"/>
          <w:lang w:bidi="ar"/>
        </w:rPr>
        <w:t>.</w:t>
      </w:r>
      <w:r>
        <w:rPr>
          <w:rFonts w:hint="eastAsia" w:ascii="仿宋" w:hAnsi="仿宋" w:eastAsia="仿宋" w:cs="仿宋"/>
          <w:color w:val="000000"/>
          <w:kern w:val="0"/>
          <w:sz w:val="31"/>
          <w:szCs w:val="31"/>
          <w:lang w:bidi="ar"/>
        </w:rPr>
        <w:t>社会保障和就业支出（类）抚恤（款）伤残抚恤（项）</w:t>
      </w:r>
      <w:r>
        <w:rPr>
          <w:color w:val="000000"/>
          <w:kern w:val="0"/>
          <w:sz w:val="31"/>
          <w:szCs w:val="31"/>
          <w:lang w:bidi="ar"/>
        </w:rPr>
        <w:t xml:space="preserve">: </w:t>
      </w:r>
    </w:p>
    <w:p>
      <w:pPr>
        <w:widowControl/>
        <w:ind w:firstLine="620" w:firstLineChars="200"/>
        <w:jc w:val="left"/>
      </w:pPr>
      <w:r>
        <w:rPr>
          <w:rFonts w:hint="eastAsia" w:ascii="仿宋" w:hAnsi="仿宋" w:eastAsia="仿宋" w:cs="仿宋"/>
          <w:color w:val="000000"/>
          <w:kern w:val="0"/>
          <w:sz w:val="31"/>
          <w:szCs w:val="31"/>
          <w:lang w:bidi="ar"/>
        </w:rPr>
        <w:t>指按规定用于伤残人员的抚恤金和按规定开支的各种伤残补助费。</w:t>
      </w:r>
    </w:p>
    <w:p>
      <w:pPr>
        <w:widowControl/>
        <w:ind w:firstLine="620" w:firstLineChars="200"/>
        <w:jc w:val="left"/>
      </w:pPr>
      <w:r>
        <w:rPr>
          <w:rFonts w:hint="eastAsia"/>
          <w:color w:val="000000"/>
          <w:kern w:val="0"/>
          <w:sz w:val="31"/>
          <w:szCs w:val="31"/>
          <w:lang w:bidi="ar"/>
        </w:rPr>
        <w:t>9</w:t>
      </w:r>
      <w:r>
        <w:rPr>
          <w:color w:val="000000"/>
          <w:kern w:val="0"/>
          <w:sz w:val="31"/>
          <w:szCs w:val="31"/>
          <w:lang w:bidi="ar"/>
        </w:rPr>
        <w:t>.</w:t>
      </w:r>
      <w:r>
        <w:rPr>
          <w:rFonts w:hint="eastAsia" w:ascii="仿宋" w:hAnsi="仿宋" w:eastAsia="仿宋" w:cs="仿宋"/>
          <w:color w:val="000000"/>
          <w:kern w:val="0"/>
          <w:sz w:val="31"/>
          <w:szCs w:val="31"/>
          <w:lang w:bidi="ar"/>
        </w:rPr>
        <w:t xml:space="preserve">卫生健康支出（类）行政事业单位医疗（款） 行政 </w:t>
      </w:r>
    </w:p>
    <w:p>
      <w:pPr>
        <w:widowControl/>
        <w:jc w:val="left"/>
      </w:pPr>
      <w:r>
        <w:rPr>
          <w:rFonts w:hint="eastAsia" w:ascii="仿宋" w:hAnsi="仿宋" w:eastAsia="仿宋" w:cs="仿宋"/>
          <w:color w:val="000000"/>
          <w:kern w:val="0"/>
          <w:sz w:val="31"/>
          <w:szCs w:val="31"/>
          <w:lang w:bidi="ar"/>
        </w:rPr>
        <w:t>单位医疗（项）</w:t>
      </w:r>
      <w:r>
        <w:rPr>
          <w:color w:val="000000"/>
          <w:kern w:val="0"/>
          <w:sz w:val="31"/>
          <w:szCs w:val="31"/>
          <w:lang w:bidi="ar"/>
        </w:rPr>
        <w:t>:</w:t>
      </w:r>
      <w:r>
        <w:rPr>
          <w:rFonts w:hint="eastAsia" w:ascii="仿宋" w:hAnsi="仿宋" w:eastAsia="仿宋" w:cs="仿宋"/>
          <w:color w:val="000000"/>
          <w:kern w:val="0"/>
          <w:sz w:val="31"/>
          <w:szCs w:val="31"/>
          <w:lang w:bidi="ar"/>
        </w:rPr>
        <w:t xml:space="preserve">指财政部门安排的行政单位（含参公事业单 </w:t>
      </w:r>
    </w:p>
    <w:p>
      <w:pPr>
        <w:widowControl/>
        <w:jc w:val="left"/>
      </w:pPr>
      <w:r>
        <w:rPr>
          <w:rFonts w:hint="eastAsia" w:ascii="仿宋" w:hAnsi="仿宋" w:eastAsia="仿宋" w:cs="仿宋"/>
          <w:color w:val="000000"/>
          <w:kern w:val="0"/>
          <w:sz w:val="31"/>
          <w:szCs w:val="31"/>
          <w:lang w:bidi="ar"/>
        </w:rPr>
        <w:t xml:space="preserve">位）基本医疗保险缴费经费。 </w:t>
      </w:r>
    </w:p>
    <w:p>
      <w:pPr>
        <w:widowControl/>
        <w:ind w:firstLine="620" w:firstLineChars="200"/>
        <w:jc w:val="left"/>
      </w:pPr>
      <w:r>
        <w:rPr>
          <w:rFonts w:hint="eastAsia"/>
          <w:color w:val="000000"/>
          <w:kern w:val="0"/>
          <w:sz w:val="31"/>
          <w:szCs w:val="31"/>
          <w:lang w:bidi="ar"/>
        </w:rPr>
        <w:t>10</w:t>
      </w:r>
      <w:r>
        <w:rPr>
          <w:color w:val="000000"/>
          <w:kern w:val="0"/>
          <w:sz w:val="31"/>
          <w:szCs w:val="31"/>
          <w:lang w:bidi="ar"/>
        </w:rPr>
        <w:t>.</w:t>
      </w:r>
      <w:r>
        <w:rPr>
          <w:rFonts w:hint="eastAsia" w:ascii="仿宋" w:hAnsi="仿宋" w:eastAsia="仿宋" w:cs="仿宋"/>
          <w:color w:val="000000"/>
          <w:kern w:val="0"/>
          <w:sz w:val="31"/>
          <w:szCs w:val="31"/>
          <w:lang w:bidi="ar"/>
        </w:rPr>
        <w:t xml:space="preserve">卫生健康支出（类）行政事业单位医疗（款） 公务 </w:t>
      </w:r>
    </w:p>
    <w:p>
      <w:pPr>
        <w:widowControl/>
        <w:jc w:val="left"/>
      </w:pPr>
      <w:r>
        <w:rPr>
          <w:rFonts w:hint="eastAsia" w:ascii="仿宋" w:hAnsi="仿宋" w:eastAsia="仿宋" w:cs="仿宋"/>
          <w:color w:val="000000"/>
          <w:kern w:val="0"/>
          <w:sz w:val="31"/>
          <w:szCs w:val="31"/>
          <w:lang w:bidi="ar"/>
        </w:rPr>
        <w:t>员医疗补助（项）</w:t>
      </w:r>
      <w:r>
        <w:rPr>
          <w:color w:val="000000"/>
          <w:kern w:val="0"/>
          <w:sz w:val="31"/>
          <w:szCs w:val="31"/>
          <w:lang w:bidi="ar"/>
        </w:rPr>
        <w:t>:</w:t>
      </w:r>
      <w:r>
        <w:rPr>
          <w:rFonts w:hint="eastAsia" w:ascii="仿宋" w:hAnsi="仿宋" w:eastAsia="仿宋" w:cs="仿宋"/>
          <w:color w:val="000000"/>
          <w:kern w:val="0"/>
          <w:sz w:val="31"/>
          <w:szCs w:val="31"/>
          <w:lang w:bidi="ar"/>
        </w:rPr>
        <w:t xml:space="preserve">指财政部门安排的公务员医疗补助经费。 </w:t>
      </w:r>
    </w:p>
    <w:p>
      <w:pPr>
        <w:widowControl/>
        <w:ind w:firstLine="620" w:firstLineChars="200"/>
        <w:jc w:val="left"/>
      </w:pPr>
      <w:r>
        <w:rPr>
          <w:rFonts w:hint="eastAsia"/>
          <w:color w:val="000000"/>
          <w:kern w:val="0"/>
          <w:sz w:val="31"/>
          <w:szCs w:val="31"/>
          <w:lang w:bidi="ar"/>
        </w:rPr>
        <w:t>11</w:t>
      </w:r>
      <w:r>
        <w:rPr>
          <w:color w:val="000000"/>
          <w:kern w:val="0"/>
          <w:sz w:val="31"/>
          <w:szCs w:val="31"/>
          <w:lang w:bidi="ar"/>
        </w:rPr>
        <w:t>.</w:t>
      </w:r>
      <w:r>
        <w:rPr>
          <w:rFonts w:hint="eastAsia" w:ascii="仿宋" w:hAnsi="仿宋" w:eastAsia="仿宋" w:cs="仿宋"/>
          <w:color w:val="000000"/>
          <w:kern w:val="0"/>
          <w:sz w:val="31"/>
          <w:szCs w:val="31"/>
          <w:lang w:bidi="ar"/>
        </w:rPr>
        <w:t>交通运输支出（类）公路水路运输（款）行政运行（项）</w:t>
      </w:r>
      <w:r>
        <w:rPr>
          <w:color w:val="000000"/>
          <w:kern w:val="0"/>
          <w:sz w:val="31"/>
          <w:szCs w:val="31"/>
          <w:lang w:bidi="ar"/>
        </w:rPr>
        <w:t xml:space="preserve">: </w:t>
      </w:r>
    </w:p>
    <w:p>
      <w:pPr>
        <w:widowControl/>
        <w:jc w:val="left"/>
      </w:pPr>
      <w:r>
        <w:rPr>
          <w:rFonts w:hint="eastAsia" w:ascii="仿宋" w:hAnsi="仿宋" w:eastAsia="仿宋" w:cs="仿宋"/>
          <w:color w:val="000000"/>
          <w:kern w:val="0"/>
          <w:sz w:val="31"/>
          <w:szCs w:val="31"/>
          <w:lang w:bidi="ar"/>
        </w:rPr>
        <w:t xml:space="preserve">指行政单位（含参公管理的事业单位）的基本支出。 </w:t>
      </w:r>
    </w:p>
    <w:p>
      <w:pPr>
        <w:widowControl/>
        <w:ind w:firstLine="620" w:firstLineChars="200"/>
        <w:jc w:val="left"/>
      </w:pPr>
      <w:r>
        <w:rPr>
          <w:rFonts w:hint="eastAsia"/>
          <w:color w:val="000000"/>
          <w:kern w:val="0"/>
          <w:sz w:val="31"/>
          <w:szCs w:val="31"/>
          <w:lang w:bidi="ar"/>
        </w:rPr>
        <w:t>12</w:t>
      </w:r>
      <w:r>
        <w:rPr>
          <w:color w:val="000000"/>
          <w:kern w:val="0"/>
          <w:sz w:val="31"/>
          <w:szCs w:val="31"/>
          <w:lang w:bidi="ar"/>
        </w:rPr>
        <w:t>.</w:t>
      </w:r>
      <w:r>
        <w:rPr>
          <w:rFonts w:hint="eastAsia" w:ascii="仿宋" w:hAnsi="仿宋" w:eastAsia="仿宋" w:cs="仿宋"/>
          <w:color w:val="000000"/>
          <w:kern w:val="0"/>
          <w:sz w:val="31"/>
          <w:szCs w:val="31"/>
          <w:lang w:bidi="ar"/>
        </w:rPr>
        <w:t xml:space="preserve">交通运输支出（类）公路水路运输（款）一般行政管 </w:t>
      </w:r>
    </w:p>
    <w:p>
      <w:pPr>
        <w:widowControl/>
        <w:jc w:val="left"/>
      </w:pPr>
      <w:r>
        <w:rPr>
          <w:rFonts w:hint="eastAsia" w:ascii="仿宋" w:hAnsi="仿宋" w:eastAsia="仿宋" w:cs="仿宋"/>
          <w:color w:val="000000"/>
          <w:kern w:val="0"/>
          <w:sz w:val="31"/>
          <w:szCs w:val="31"/>
          <w:lang w:bidi="ar"/>
        </w:rPr>
        <w:t>理事务（项）</w:t>
      </w:r>
      <w:r>
        <w:rPr>
          <w:color w:val="000000"/>
          <w:kern w:val="0"/>
          <w:sz w:val="31"/>
          <w:szCs w:val="31"/>
          <w:lang w:bidi="ar"/>
        </w:rPr>
        <w:t>:</w:t>
      </w:r>
      <w:r>
        <w:rPr>
          <w:rFonts w:hint="eastAsia" w:ascii="仿宋" w:hAnsi="仿宋" w:eastAsia="仿宋" w:cs="仿宋"/>
          <w:color w:val="000000"/>
          <w:kern w:val="0"/>
          <w:sz w:val="31"/>
          <w:szCs w:val="31"/>
          <w:lang w:bidi="ar"/>
        </w:rPr>
        <w:t xml:space="preserve">指行政单位（含参公管理的事业单位）一般行 </w:t>
      </w:r>
    </w:p>
    <w:p>
      <w:pPr>
        <w:widowControl/>
        <w:jc w:val="left"/>
      </w:pPr>
      <w:r>
        <w:rPr>
          <w:rFonts w:hint="eastAsia" w:ascii="仿宋" w:hAnsi="仿宋" w:eastAsia="仿宋" w:cs="仿宋"/>
          <w:color w:val="000000"/>
          <w:kern w:val="0"/>
          <w:sz w:val="31"/>
          <w:szCs w:val="31"/>
          <w:lang w:bidi="ar"/>
        </w:rPr>
        <w:t xml:space="preserve">政管理事务的支出。 </w:t>
      </w:r>
    </w:p>
    <w:p>
      <w:pPr>
        <w:widowControl/>
        <w:ind w:firstLine="620" w:firstLineChars="200"/>
        <w:jc w:val="left"/>
      </w:pPr>
      <w:r>
        <w:rPr>
          <w:rFonts w:hint="eastAsia"/>
          <w:color w:val="000000"/>
          <w:kern w:val="0"/>
          <w:sz w:val="31"/>
          <w:szCs w:val="31"/>
          <w:lang w:bidi="ar"/>
        </w:rPr>
        <w:t>13</w:t>
      </w:r>
      <w:r>
        <w:rPr>
          <w:color w:val="000000"/>
          <w:kern w:val="0"/>
          <w:sz w:val="31"/>
          <w:szCs w:val="31"/>
          <w:lang w:bidi="ar"/>
        </w:rPr>
        <w:t>.</w:t>
      </w:r>
      <w:r>
        <w:rPr>
          <w:rFonts w:hint="eastAsia" w:ascii="仿宋" w:hAnsi="仿宋" w:eastAsia="仿宋" w:cs="仿宋"/>
          <w:color w:val="000000"/>
          <w:kern w:val="0"/>
          <w:sz w:val="31"/>
          <w:szCs w:val="31"/>
          <w:lang w:bidi="ar"/>
        </w:rPr>
        <w:t xml:space="preserve">交通运输支出（类）公路水路运输（款）一般行政管 </w:t>
      </w:r>
    </w:p>
    <w:p>
      <w:pPr>
        <w:widowControl/>
        <w:jc w:val="left"/>
      </w:pPr>
      <w:r>
        <w:rPr>
          <w:rFonts w:hint="eastAsia" w:ascii="仿宋" w:hAnsi="仿宋" w:eastAsia="仿宋" w:cs="仿宋"/>
          <w:color w:val="000000"/>
          <w:kern w:val="0"/>
          <w:sz w:val="31"/>
          <w:szCs w:val="31"/>
          <w:lang w:bidi="ar"/>
        </w:rPr>
        <w:t>理事务（项）</w:t>
      </w:r>
      <w:r>
        <w:rPr>
          <w:color w:val="000000"/>
          <w:kern w:val="0"/>
          <w:sz w:val="31"/>
          <w:szCs w:val="31"/>
          <w:lang w:bidi="ar"/>
        </w:rPr>
        <w:t>:</w:t>
      </w:r>
      <w:r>
        <w:rPr>
          <w:rFonts w:hint="eastAsia" w:ascii="仿宋" w:hAnsi="仿宋" w:eastAsia="仿宋" w:cs="仿宋"/>
          <w:color w:val="000000"/>
          <w:kern w:val="0"/>
          <w:sz w:val="31"/>
          <w:szCs w:val="31"/>
          <w:lang w:bidi="ar"/>
        </w:rPr>
        <w:t xml:space="preserve">指行政单位（含参公管理的事业单位）未单独 </w:t>
      </w:r>
    </w:p>
    <w:p>
      <w:pPr>
        <w:widowControl/>
        <w:jc w:val="left"/>
      </w:pPr>
      <w:r>
        <w:rPr>
          <w:rFonts w:hint="eastAsia" w:ascii="仿宋" w:hAnsi="仿宋" w:eastAsia="仿宋" w:cs="仿宋"/>
          <w:color w:val="000000"/>
          <w:kern w:val="0"/>
          <w:sz w:val="31"/>
          <w:szCs w:val="31"/>
          <w:lang w:bidi="ar"/>
        </w:rPr>
        <w:t xml:space="preserve">设置项级科目的其他项目支出。 </w:t>
      </w:r>
    </w:p>
    <w:p>
      <w:pPr>
        <w:widowControl/>
        <w:ind w:firstLine="620" w:firstLineChars="200"/>
        <w:jc w:val="left"/>
      </w:pPr>
      <w:r>
        <w:rPr>
          <w:rFonts w:hint="eastAsia"/>
          <w:color w:val="000000"/>
          <w:kern w:val="0"/>
          <w:sz w:val="31"/>
          <w:szCs w:val="31"/>
          <w:lang w:bidi="ar"/>
        </w:rPr>
        <w:t>14</w:t>
      </w:r>
      <w:r>
        <w:rPr>
          <w:color w:val="000000"/>
          <w:kern w:val="0"/>
          <w:sz w:val="31"/>
          <w:szCs w:val="31"/>
          <w:lang w:bidi="ar"/>
        </w:rPr>
        <w:t>.</w:t>
      </w:r>
      <w:r>
        <w:rPr>
          <w:rFonts w:hint="eastAsia" w:ascii="仿宋" w:hAnsi="仿宋" w:eastAsia="仿宋" w:cs="仿宋"/>
          <w:color w:val="000000"/>
          <w:kern w:val="0"/>
          <w:sz w:val="31"/>
          <w:szCs w:val="31"/>
          <w:lang w:bidi="ar"/>
        </w:rPr>
        <w:t xml:space="preserve">交通运输支出（类）车辆购置税支出（款）车辆购 </w:t>
      </w:r>
    </w:p>
    <w:p>
      <w:pPr>
        <w:widowControl/>
        <w:jc w:val="left"/>
      </w:pPr>
      <w:r>
        <w:rPr>
          <w:rFonts w:hint="eastAsia" w:ascii="仿宋" w:hAnsi="仿宋" w:eastAsia="仿宋" w:cs="仿宋"/>
          <w:color w:val="000000"/>
          <w:kern w:val="0"/>
          <w:sz w:val="31"/>
          <w:szCs w:val="31"/>
          <w:lang w:bidi="ar"/>
        </w:rPr>
        <w:t>置税其他支出（项）</w:t>
      </w:r>
      <w:r>
        <w:rPr>
          <w:color w:val="000000"/>
          <w:kern w:val="0"/>
          <w:sz w:val="31"/>
          <w:szCs w:val="31"/>
          <w:lang w:bidi="ar"/>
        </w:rPr>
        <w:t>:</w:t>
      </w:r>
      <w:r>
        <w:rPr>
          <w:rFonts w:hint="eastAsia" w:ascii="仿宋" w:hAnsi="仿宋" w:eastAsia="仿宋" w:cs="仿宋"/>
          <w:color w:val="000000"/>
          <w:kern w:val="0"/>
          <w:sz w:val="31"/>
          <w:szCs w:val="31"/>
          <w:lang w:bidi="ar"/>
        </w:rPr>
        <w:t xml:space="preserve">指车辆购置税收入安排用于其他支出。 </w:t>
      </w:r>
    </w:p>
    <w:p>
      <w:pPr>
        <w:widowControl/>
        <w:ind w:firstLine="620" w:firstLineChars="200"/>
        <w:jc w:val="left"/>
      </w:pPr>
      <w:r>
        <w:rPr>
          <w:rFonts w:hint="eastAsia"/>
          <w:color w:val="000000"/>
          <w:kern w:val="0"/>
          <w:sz w:val="31"/>
          <w:szCs w:val="31"/>
          <w:lang w:bidi="ar"/>
        </w:rPr>
        <w:t>15</w:t>
      </w:r>
      <w:r>
        <w:rPr>
          <w:color w:val="000000"/>
          <w:kern w:val="0"/>
          <w:sz w:val="31"/>
          <w:szCs w:val="31"/>
          <w:lang w:bidi="ar"/>
        </w:rPr>
        <w:t>.</w:t>
      </w:r>
      <w:r>
        <w:rPr>
          <w:rFonts w:hint="eastAsia" w:ascii="仿宋" w:hAnsi="仿宋" w:eastAsia="仿宋" w:cs="仿宋"/>
          <w:color w:val="000000"/>
          <w:kern w:val="0"/>
          <w:sz w:val="31"/>
          <w:szCs w:val="31"/>
          <w:lang w:bidi="ar"/>
        </w:rPr>
        <w:t xml:space="preserve">交通运输支出（类）公路水路运输（款）其他公路水 </w:t>
      </w:r>
    </w:p>
    <w:p>
      <w:pPr>
        <w:widowControl/>
        <w:jc w:val="left"/>
      </w:pPr>
      <w:r>
        <w:rPr>
          <w:rFonts w:hint="eastAsia" w:ascii="仿宋" w:hAnsi="仿宋" w:eastAsia="仿宋" w:cs="仿宋"/>
          <w:color w:val="000000"/>
          <w:kern w:val="0"/>
          <w:sz w:val="31"/>
          <w:szCs w:val="31"/>
          <w:lang w:bidi="ar"/>
        </w:rPr>
        <w:t>路运输支出（项）</w:t>
      </w:r>
      <w:r>
        <w:rPr>
          <w:color w:val="000000"/>
          <w:kern w:val="0"/>
          <w:sz w:val="31"/>
          <w:szCs w:val="31"/>
          <w:lang w:bidi="ar"/>
        </w:rPr>
        <w:t>:</w:t>
      </w:r>
      <w:r>
        <w:rPr>
          <w:rFonts w:hint="eastAsia" w:ascii="仿宋" w:hAnsi="仿宋" w:eastAsia="仿宋" w:cs="仿宋"/>
          <w:color w:val="000000"/>
          <w:kern w:val="0"/>
          <w:sz w:val="31"/>
          <w:szCs w:val="31"/>
          <w:lang w:bidi="ar"/>
        </w:rPr>
        <w:t xml:space="preserve">指其他用于公路水路运输方面的支出。 </w:t>
      </w:r>
    </w:p>
    <w:p>
      <w:pPr>
        <w:widowControl/>
        <w:ind w:firstLine="620" w:firstLineChars="200"/>
        <w:jc w:val="left"/>
      </w:pPr>
      <w:r>
        <w:rPr>
          <w:rFonts w:hint="eastAsia"/>
          <w:color w:val="000000"/>
          <w:kern w:val="0"/>
          <w:sz w:val="31"/>
          <w:szCs w:val="31"/>
          <w:lang w:bidi="ar"/>
        </w:rPr>
        <w:t>16</w:t>
      </w:r>
      <w:r>
        <w:rPr>
          <w:color w:val="000000"/>
          <w:kern w:val="0"/>
          <w:sz w:val="31"/>
          <w:szCs w:val="31"/>
          <w:lang w:bidi="ar"/>
        </w:rPr>
        <w:t>.</w:t>
      </w:r>
      <w:r>
        <w:rPr>
          <w:rFonts w:hint="eastAsia" w:ascii="仿宋" w:hAnsi="仿宋" w:eastAsia="仿宋" w:cs="仿宋"/>
          <w:color w:val="000000"/>
          <w:kern w:val="0"/>
          <w:sz w:val="31"/>
          <w:szCs w:val="31"/>
          <w:lang w:bidi="ar"/>
        </w:rPr>
        <w:t>住房保障支出（类）住房改革支出（款）住房公积金 （项）</w:t>
      </w:r>
      <w:r>
        <w:rPr>
          <w:color w:val="000000"/>
          <w:kern w:val="0"/>
          <w:sz w:val="31"/>
          <w:szCs w:val="31"/>
          <w:lang w:bidi="ar"/>
        </w:rPr>
        <w:t>:</w:t>
      </w:r>
      <w:r>
        <w:rPr>
          <w:rFonts w:hint="eastAsia" w:ascii="仿宋" w:hAnsi="仿宋" w:eastAsia="仿宋" w:cs="仿宋"/>
          <w:color w:val="000000"/>
          <w:kern w:val="0"/>
          <w:sz w:val="31"/>
          <w:szCs w:val="31"/>
          <w:lang w:bidi="ar"/>
        </w:rPr>
        <w:t xml:space="preserve">指单位按规定的基本工资和津贴补贴以及规定比例为职工缴纳的住房公积金。 </w:t>
      </w:r>
    </w:p>
    <w:p>
      <w:pPr>
        <w:widowControl/>
        <w:ind w:firstLine="620" w:firstLineChars="200"/>
        <w:jc w:val="left"/>
      </w:pPr>
      <w:r>
        <w:rPr>
          <w:rFonts w:hint="eastAsia"/>
          <w:color w:val="000000"/>
          <w:kern w:val="0"/>
          <w:sz w:val="31"/>
          <w:szCs w:val="31"/>
          <w:lang w:bidi="ar"/>
        </w:rPr>
        <w:t>17</w:t>
      </w:r>
      <w:r>
        <w:rPr>
          <w:color w:val="000000"/>
          <w:kern w:val="0"/>
          <w:sz w:val="31"/>
          <w:szCs w:val="31"/>
          <w:lang w:bidi="ar"/>
        </w:rPr>
        <w:t>.</w:t>
      </w:r>
      <w:r>
        <w:rPr>
          <w:rFonts w:hint="eastAsia" w:ascii="仿宋_GB2312" w:hAnsi="宋体" w:eastAsia="仿宋_GB2312" w:cs="仿宋_GB2312"/>
          <w:color w:val="000000"/>
          <w:kern w:val="0"/>
          <w:sz w:val="31"/>
          <w:szCs w:val="31"/>
          <w:lang w:bidi="ar"/>
        </w:rPr>
        <w:t xml:space="preserve">基本支出：指为保障机构正常运转、完成日常工作任务而发生的人员支出和公用支出。 </w:t>
      </w:r>
    </w:p>
    <w:p>
      <w:pPr>
        <w:widowControl/>
        <w:ind w:firstLine="620" w:firstLineChars="200"/>
        <w:jc w:val="left"/>
      </w:pPr>
      <w:r>
        <w:rPr>
          <w:rFonts w:hint="eastAsia"/>
          <w:color w:val="000000"/>
          <w:kern w:val="0"/>
          <w:sz w:val="31"/>
          <w:szCs w:val="31"/>
          <w:lang w:bidi="ar"/>
        </w:rPr>
        <w:t>18</w:t>
      </w:r>
      <w:r>
        <w:rPr>
          <w:color w:val="000000"/>
          <w:kern w:val="0"/>
          <w:sz w:val="31"/>
          <w:szCs w:val="31"/>
          <w:lang w:bidi="ar"/>
        </w:rPr>
        <w:t>.</w:t>
      </w:r>
      <w:r>
        <w:rPr>
          <w:rFonts w:hint="eastAsia" w:ascii="仿宋_GB2312" w:hAnsi="宋体" w:eastAsia="仿宋_GB2312" w:cs="仿宋_GB2312"/>
          <w:color w:val="000000"/>
          <w:kern w:val="0"/>
          <w:sz w:val="31"/>
          <w:szCs w:val="31"/>
          <w:lang w:bidi="ar"/>
        </w:rPr>
        <w:t>项目支出：指在基本支出之外为完成特定行政任务和事业发展目标所发生的支出。</w:t>
      </w:r>
      <w:r>
        <w:rPr>
          <w:color w:val="000000"/>
          <w:kern w:val="0"/>
          <w:sz w:val="31"/>
          <w:szCs w:val="31"/>
          <w:lang w:bidi="ar"/>
        </w:rPr>
        <w:t>20.</w:t>
      </w:r>
      <w:r>
        <w:rPr>
          <w:rFonts w:hint="eastAsia" w:ascii="仿宋_GB2312" w:hAnsi="宋体" w:eastAsia="仿宋_GB2312" w:cs="仿宋_GB2312"/>
          <w:color w:val="000000"/>
          <w:kern w:val="0"/>
          <w:sz w:val="31"/>
          <w:szCs w:val="31"/>
          <w:lang w:bidi="ar"/>
        </w:rPr>
        <w:t xml:space="preserve">经营支出：指事业单位在专业业务活动及其辅助活动之外开展非独立核算经营活动发生的支出。 </w:t>
      </w:r>
    </w:p>
    <w:p>
      <w:pPr>
        <w:widowControl/>
        <w:ind w:firstLine="620" w:firstLineChars="200"/>
        <w:jc w:val="left"/>
      </w:pPr>
      <w:r>
        <w:rPr>
          <w:rFonts w:hint="eastAsia"/>
          <w:color w:val="000000"/>
          <w:kern w:val="0"/>
          <w:sz w:val="31"/>
          <w:szCs w:val="31"/>
          <w:lang w:bidi="ar"/>
        </w:rPr>
        <w:t>19</w:t>
      </w:r>
      <w:r>
        <w:rPr>
          <w:color w:val="000000"/>
          <w:kern w:val="0"/>
          <w:sz w:val="31"/>
          <w:szCs w:val="31"/>
          <w:lang w:bidi="ar"/>
        </w:rPr>
        <w:t>.“</w:t>
      </w:r>
      <w:r>
        <w:rPr>
          <w:rFonts w:hint="eastAsia" w:ascii="仿宋_GB2312" w:hAnsi="宋体" w:eastAsia="仿宋_GB2312" w:cs="仿宋_GB2312"/>
          <w:color w:val="000000"/>
          <w:kern w:val="0"/>
          <w:sz w:val="31"/>
          <w:szCs w:val="31"/>
          <w:lang w:bidi="ar"/>
        </w:rPr>
        <w:t>三公</w:t>
      </w:r>
      <w:r>
        <w:rPr>
          <w:color w:val="000000"/>
          <w:kern w:val="0"/>
          <w:sz w:val="31"/>
          <w:szCs w:val="31"/>
          <w:lang w:bidi="ar"/>
        </w:rPr>
        <w:t>”</w:t>
      </w:r>
      <w:r>
        <w:rPr>
          <w:rFonts w:hint="eastAsia" w:ascii="仿宋_GB2312" w:hAnsi="宋体" w:eastAsia="仿宋_GB2312" w:cs="仿宋_GB2312"/>
          <w:color w:val="000000"/>
          <w:kern w:val="0"/>
          <w:sz w:val="31"/>
          <w:szCs w:val="31"/>
          <w:lang w:bidi="ar"/>
        </w:rPr>
        <w:t xml:space="preserve">经费：指单位用财政拨款安排的因公出国（境） </w:t>
      </w:r>
    </w:p>
    <w:p>
      <w:pPr>
        <w:widowControl/>
        <w:jc w:val="left"/>
      </w:pPr>
      <w:r>
        <w:rPr>
          <w:rFonts w:hint="eastAsia" w:ascii="仿宋_GB2312" w:hAnsi="宋体" w:eastAsia="仿宋_GB2312" w:cs="仿宋_GB2312"/>
          <w:color w:val="000000"/>
          <w:kern w:val="0"/>
          <w:sz w:val="31"/>
          <w:szCs w:val="31"/>
          <w:lang w:bidi="ar"/>
        </w:rPr>
        <w:t xml:space="preserve">费、公务用车购置及运行费和公务接待费。其中，因公出国 </w:t>
      </w:r>
    </w:p>
    <w:p>
      <w:pPr>
        <w:widowControl/>
        <w:jc w:val="left"/>
      </w:pPr>
      <w:r>
        <w:rPr>
          <w:rFonts w:hint="eastAsia" w:ascii="仿宋_GB2312" w:hAnsi="宋体" w:eastAsia="仿宋_GB2312" w:cs="仿宋_GB2312"/>
          <w:color w:val="000000"/>
          <w:kern w:val="0"/>
          <w:sz w:val="31"/>
          <w:szCs w:val="31"/>
          <w:lang w:bidi="ar"/>
        </w:rPr>
        <w:t xml:space="preserve">（境）费反映单位公务出国（境）的国际旅费、国外城市间 </w:t>
      </w:r>
    </w:p>
    <w:p>
      <w:pPr>
        <w:widowControl/>
        <w:jc w:val="left"/>
      </w:pPr>
      <w:r>
        <w:rPr>
          <w:rFonts w:hint="eastAsia" w:ascii="仿宋_GB2312" w:hAnsi="宋体" w:eastAsia="仿宋_GB2312" w:cs="仿宋_GB2312"/>
          <w:color w:val="000000"/>
          <w:kern w:val="0"/>
          <w:sz w:val="31"/>
          <w:szCs w:val="31"/>
          <w:lang w:bidi="ar"/>
        </w:rPr>
        <w:t xml:space="preserve">交通费、住宿费、伙食费、培训费、公杂费等支出；公务用 </w:t>
      </w:r>
    </w:p>
    <w:p>
      <w:pPr>
        <w:widowControl/>
        <w:jc w:val="left"/>
      </w:pPr>
      <w:r>
        <w:rPr>
          <w:rFonts w:hint="eastAsia" w:ascii="仿宋_GB2312" w:hAnsi="宋体" w:eastAsia="仿宋_GB2312" w:cs="仿宋_GB2312"/>
          <w:color w:val="000000"/>
          <w:kern w:val="0"/>
          <w:sz w:val="31"/>
          <w:szCs w:val="31"/>
          <w:lang w:bidi="ar"/>
        </w:rPr>
        <w:t xml:space="preserve">车购置及运行费反映单位公务用车车辆购置支出（含车辆购 </w:t>
      </w:r>
    </w:p>
    <w:p>
      <w:pPr>
        <w:widowControl/>
        <w:jc w:val="left"/>
      </w:pPr>
      <w:r>
        <w:rPr>
          <w:rFonts w:hint="eastAsia" w:ascii="仿宋_GB2312" w:hAnsi="宋体" w:eastAsia="仿宋_GB2312" w:cs="仿宋_GB2312"/>
          <w:color w:val="000000"/>
          <w:kern w:val="0"/>
          <w:sz w:val="31"/>
          <w:szCs w:val="31"/>
          <w:lang w:bidi="ar"/>
        </w:rPr>
        <w:t xml:space="preserve">置税）及租用费、燃料费、维修费、过路过桥费、保险费等 </w:t>
      </w:r>
    </w:p>
    <w:p>
      <w:pPr>
        <w:widowControl/>
        <w:jc w:val="left"/>
      </w:pPr>
      <w:r>
        <w:rPr>
          <w:rFonts w:hint="eastAsia" w:ascii="仿宋_GB2312" w:hAnsi="宋体" w:eastAsia="仿宋_GB2312" w:cs="仿宋_GB2312"/>
          <w:color w:val="000000"/>
          <w:kern w:val="0"/>
          <w:sz w:val="31"/>
          <w:szCs w:val="31"/>
          <w:lang w:bidi="ar"/>
        </w:rPr>
        <w:t xml:space="preserve">支出；公务接待费反映单位按规定开支的各类公务接待（含 </w:t>
      </w:r>
    </w:p>
    <w:p>
      <w:pPr>
        <w:widowControl/>
        <w:jc w:val="left"/>
      </w:pPr>
      <w:r>
        <w:rPr>
          <w:rFonts w:hint="eastAsia" w:ascii="仿宋_GB2312" w:hAnsi="宋体" w:eastAsia="仿宋_GB2312" w:cs="仿宋_GB2312"/>
          <w:color w:val="000000"/>
          <w:kern w:val="0"/>
          <w:sz w:val="31"/>
          <w:szCs w:val="31"/>
          <w:lang w:bidi="ar"/>
        </w:rPr>
        <w:t xml:space="preserve">外宾接待）支出。 </w:t>
      </w:r>
    </w:p>
    <w:p>
      <w:pPr>
        <w:widowControl/>
        <w:ind w:firstLine="620" w:firstLineChars="200"/>
        <w:jc w:val="left"/>
      </w:pPr>
      <w:r>
        <w:rPr>
          <w:rFonts w:hint="eastAsia"/>
          <w:color w:val="000000"/>
          <w:kern w:val="0"/>
          <w:sz w:val="31"/>
          <w:szCs w:val="31"/>
          <w:lang w:bidi="ar"/>
        </w:rPr>
        <w:t>20</w:t>
      </w:r>
      <w:r>
        <w:rPr>
          <w:color w:val="000000"/>
          <w:kern w:val="0"/>
          <w:sz w:val="31"/>
          <w:szCs w:val="31"/>
          <w:lang w:bidi="ar"/>
        </w:rPr>
        <w:t>.</w:t>
      </w:r>
      <w:r>
        <w:rPr>
          <w:rFonts w:hint="eastAsia" w:ascii="仿宋_GB2312" w:hAnsi="宋体" w:eastAsia="仿宋_GB2312" w:cs="仿宋_GB2312"/>
          <w:color w:val="000000"/>
          <w:kern w:val="0"/>
          <w:sz w:val="31"/>
          <w:szCs w:val="31"/>
          <w:lang w:bidi="ar"/>
        </w:rPr>
        <w:t xml:space="preserve">机关运行经费：为保障行政单位（含参照公务员法管 </w:t>
      </w:r>
    </w:p>
    <w:p>
      <w:pPr>
        <w:widowControl/>
        <w:jc w:val="left"/>
      </w:pPr>
      <w:r>
        <w:rPr>
          <w:rFonts w:hint="eastAsia" w:ascii="仿宋_GB2312" w:hAnsi="宋体" w:eastAsia="仿宋_GB2312" w:cs="仿宋_GB2312"/>
          <w:color w:val="000000"/>
          <w:kern w:val="0"/>
          <w:sz w:val="31"/>
          <w:szCs w:val="31"/>
          <w:lang w:bidi="ar"/>
        </w:rPr>
        <w:t xml:space="preserve">理的事业单位）运行用于购买货物和服务的各项资金，包括 </w:t>
      </w:r>
    </w:p>
    <w:p>
      <w:pPr>
        <w:widowControl/>
        <w:jc w:val="left"/>
      </w:pPr>
      <w:r>
        <w:rPr>
          <w:rFonts w:hint="eastAsia" w:ascii="仿宋_GB2312" w:hAnsi="宋体" w:eastAsia="仿宋_GB2312" w:cs="仿宋_GB2312"/>
          <w:color w:val="000000"/>
          <w:kern w:val="0"/>
          <w:sz w:val="31"/>
          <w:szCs w:val="31"/>
          <w:lang w:bidi="ar"/>
        </w:rPr>
        <w:t xml:space="preserve">办公及印刷费、邮电费、差旅费、会议费、福利费、日常维 </w:t>
      </w:r>
    </w:p>
    <w:p>
      <w:pPr>
        <w:widowControl/>
        <w:jc w:val="left"/>
      </w:pPr>
      <w:r>
        <w:rPr>
          <w:rFonts w:hint="eastAsia" w:ascii="仿宋_GB2312" w:hAnsi="宋体" w:eastAsia="仿宋_GB2312" w:cs="仿宋_GB2312"/>
          <w:color w:val="000000"/>
          <w:kern w:val="0"/>
          <w:sz w:val="31"/>
          <w:szCs w:val="31"/>
          <w:lang w:bidi="ar"/>
        </w:rPr>
        <w:t>修费、专用材料及一般设备购置费、办公用房水电、办公用房物业管理费、公务用车运行维护费以 及其他费用。</w:t>
      </w:r>
    </w:p>
    <w:p>
      <w:pPr>
        <w:spacing w:line="600" w:lineRule="exact"/>
        <w:jc w:val="center"/>
        <w:outlineLvl w:val="0"/>
        <w:rPr>
          <w:rFonts w:ascii="仿宋_GB2312" w:hAnsi="Calibri" w:eastAsia="仿宋_GB2312" w:cs="仿宋"/>
          <w:kern w:val="0"/>
          <w:sz w:val="32"/>
          <w:szCs w:val="32"/>
        </w:rPr>
      </w:pPr>
      <w:bookmarkStart w:id="71" w:name="_Toc15377226"/>
      <w:r>
        <w:rPr>
          <w:rFonts w:ascii="宋体"/>
          <w:b/>
          <w:sz w:val="44"/>
          <w:szCs w:val="44"/>
        </w:rPr>
        <w:br w:type="page"/>
      </w:r>
      <w:bookmarkStart w:id="72" w:name="_Toc29883"/>
      <w:bookmarkStart w:id="73" w:name="_Toc15396614"/>
      <w:r>
        <w:rPr>
          <w:rFonts w:hint="eastAsia" w:ascii="黑体" w:hAnsi="黑体" w:eastAsia="黑体"/>
          <w:sz w:val="44"/>
          <w:szCs w:val="44"/>
        </w:rPr>
        <w:t>第</w:t>
      </w:r>
      <w:r>
        <w:rPr>
          <w:rStyle w:val="25"/>
          <w:rFonts w:hint="eastAsia" w:ascii="黑体" w:hAnsi="黑体" w:eastAsia="黑体"/>
          <w:b w:val="0"/>
        </w:rPr>
        <w:t>四部分 附件</w:t>
      </w:r>
      <w:bookmarkEnd w:id="72"/>
      <w:bookmarkEnd w:id="73"/>
      <w:bookmarkStart w:id="74" w:name="_Toc15396618"/>
    </w:p>
    <w:p>
      <w:pPr>
        <w:widowControl/>
        <w:jc w:val="center"/>
      </w:pPr>
      <w:r>
        <w:rPr>
          <w:rFonts w:ascii="方正小标宋简体" w:hAnsi="方正小标宋简体" w:eastAsia="方正小标宋简体" w:cs="方正小标宋简体"/>
          <w:color w:val="000000"/>
          <w:kern w:val="0"/>
          <w:sz w:val="43"/>
          <w:szCs w:val="43"/>
          <w:lang w:bidi="ar"/>
        </w:rPr>
        <w:t>巴中市公路局</w:t>
      </w:r>
    </w:p>
    <w:p>
      <w:pPr>
        <w:widowControl/>
        <w:jc w:val="center"/>
      </w:pPr>
      <w:r>
        <w:rPr>
          <w:color w:val="000000"/>
          <w:kern w:val="0"/>
          <w:sz w:val="43"/>
          <w:szCs w:val="43"/>
          <w:lang w:bidi="ar"/>
        </w:rPr>
        <w:t>202</w:t>
      </w:r>
      <w:r>
        <w:rPr>
          <w:rFonts w:hint="eastAsia"/>
          <w:color w:val="000000"/>
          <w:kern w:val="0"/>
          <w:sz w:val="43"/>
          <w:szCs w:val="43"/>
          <w:lang w:bidi="ar"/>
        </w:rPr>
        <w:t>2</w:t>
      </w:r>
      <w:r>
        <w:rPr>
          <w:color w:val="000000"/>
          <w:kern w:val="0"/>
          <w:sz w:val="43"/>
          <w:szCs w:val="43"/>
          <w:lang w:bidi="ar"/>
        </w:rPr>
        <w:t xml:space="preserve"> </w:t>
      </w:r>
      <w:r>
        <w:rPr>
          <w:rFonts w:hint="eastAsia" w:ascii="方正小标宋简体" w:hAnsi="方正小标宋简体" w:eastAsia="方正小标宋简体" w:cs="方正小标宋简体"/>
          <w:color w:val="000000"/>
          <w:kern w:val="0"/>
          <w:sz w:val="43"/>
          <w:szCs w:val="43"/>
          <w:lang w:bidi="ar"/>
        </w:rPr>
        <w:t>年度项目支出绩效自评报告</w:t>
      </w:r>
    </w:p>
    <w:p>
      <w:pPr>
        <w:widowControl/>
        <w:ind w:firstLine="620" w:firstLineChars="200"/>
        <w:jc w:val="left"/>
        <w:rPr>
          <w:rFonts w:ascii="方正仿宋_GB2312" w:hAnsi="方正仿宋_GB2312" w:eastAsia="方正仿宋_GB2312" w:cs="方正仿宋_GB2312"/>
        </w:rPr>
      </w:pPr>
      <w:r>
        <w:rPr>
          <w:rFonts w:hint="eastAsia" w:ascii="仿宋_GB2312" w:hAnsi="宋体" w:eastAsia="仿宋_GB2312" w:cs="仿宋_GB2312"/>
          <w:color w:val="000000"/>
          <w:kern w:val="0"/>
          <w:sz w:val="31"/>
          <w:szCs w:val="31"/>
          <w:lang w:bidi="ar"/>
        </w:rPr>
        <w:t>根据《关于开展2023年财政支出绩效评价工作的通知》（巴财监绩〔2023〕4号）文件要求，我局组织专人按照规定的绩效考评指标及办法，对2022年项目支出开展了绩效自评。现将有关情况报告如下。</w:t>
      </w:r>
      <w:r>
        <w:rPr>
          <w:rFonts w:hint="eastAsia" w:ascii="方正仿宋_GB2312" w:hAnsi="方正仿宋_GB2312" w:eastAsia="方正仿宋_GB2312" w:cs="方正仿宋_GB2312"/>
          <w:color w:val="000000"/>
          <w:kern w:val="0"/>
          <w:sz w:val="31"/>
          <w:szCs w:val="31"/>
          <w:lang w:bidi="ar"/>
        </w:rPr>
        <w:t xml:space="preserve"> </w:t>
      </w:r>
    </w:p>
    <w:p>
      <w:pPr>
        <w:widowControl/>
        <w:jc w:val="left"/>
      </w:pPr>
      <w:r>
        <w:rPr>
          <w:rFonts w:ascii="黑体" w:hAnsi="宋体" w:eastAsia="黑体" w:cs="黑体"/>
          <w:color w:val="000000"/>
          <w:kern w:val="0"/>
          <w:sz w:val="31"/>
          <w:szCs w:val="31"/>
          <w:lang w:bidi="ar"/>
        </w:rPr>
        <w:t xml:space="preserve">一、基本情况 </w:t>
      </w:r>
    </w:p>
    <w:p>
      <w:pPr>
        <w:widowControl/>
        <w:ind w:firstLine="622" w:firstLineChars="200"/>
        <w:jc w:val="left"/>
      </w:pPr>
      <w:r>
        <w:rPr>
          <w:rFonts w:ascii="楷体" w:hAnsi="楷体" w:eastAsia="楷体" w:cs="楷体"/>
          <w:b/>
          <w:bCs/>
          <w:color w:val="000000"/>
          <w:kern w:val="0"/>
          <w:sz w:val="31"/>
          <w:szCs w:val="31"/>
          <w:lang w:bidi="ar"/>
        </w:rPr>
        <w:t>（一）单位主要职责。</w:t>
      </w:r>
      <w:r>
        <w:rPr>
          <w:rFonts w:hint="eastAsia" w:ascii="仿宋_GB2312" w:hAnsi="宋体" w:eastAsia="仿宋_GB2312" w:cs="仿宋_GB2312"/>
          <w:color w:val="000000"/>
          <w:kern w:val="0"/>
          <w:sz w:val="31"/>
          <w:szCs w:val="31"/>
          <w:lang w:bidi="ar"/>
        </w:rPr>
        <w:t xml:space="preserve">负责全市普通国省干线公路建设和养护管理。贯彻执行国家和地方公路管理法律法规、方针政策、标准规范，编制全市公路养护管理发展规划，编制下达养护工程计划，公路监测网络、预报预警体系和全市公路路网信息平台。负责组织实施普通国省干线公路小修保养和日常维护管理，建立和维护公路基础数据库、桥梁基础数据库、交通流量调查、路况检测等系统。负责全市普通国省干线公路应急保障工作及安全监督管理，指导全市公路行业安全生产工作。负责督促、指导和检查全市农村公路建设与养护管理工作。参与编制农村公路建设养护管理规划，建立、完善农村公路基础数据库。承办市交通运输局交办的其他事项。 </w:t>
      </w:r>
    </w:p>
    <w:p>
      <w:pPr>
        <w:ind w:firstLine="934" w:firstLineChars="300"/>
      </w:pPr>
      <w:r>
        <w:rPr>
          <w:rFonts w:hint="eastAsia" w:ascii="楷体" w:hAnsi="楷体" w:eastAsia="楷体" w:cs="楷体"/>
          <w:b/>
          <w:bCs/>
          <w:color w:val="000000"/>
          <w:kern w:val="0"/>
          <w:sz w:val="31"/>
          <w:szCs w:val="31"/>
          <w:lang w:bidi="ar"/>
        </w:rPr>
        <w:t>（二）内设机构。</w:t>
      </w:r>
      <w:r>
        <w:rPr>
          <w:rFonts w:hint="eastAsia" w:ascii="方正仿宋_GB2312" w:hAnsi="方正仿宋_GB2312" w:eastAsia="方正仿宋_GB2312" w:cs="方正仿宋_GB2312"/>
          <w:sz w:val="32"/>
          <w:szCs w:val="32"/>
        </w:rPr>
        <w:t>巴中市公路局为副县级参公管理事业单位，共设置有5个科室，分别为：综合科、财务科、农村公路科、工程养护科、路安科。</w:t>
      </w:r>
      <w:r>
        <w:rPr>
          <w:rFonts w:hint="eastAsia" w:ascii="仿宋_GB2312" w:hAnsi="宋体" w:eastAsia="仿宋_GB2312" w:cs="仿宋_GB2312"/>
          <w:color w:val="000000"/>
          <w:kern w:val="0"/>
          <w:sz w:val="31"/>
          <w:szCs w:val="31"/>
          <w:lang w:bidi="ar"/>
        </w:rPr>
        <w:t xml:space="preserve"> </w:t>
      </w:r>
    </w:p>
    <w:p>
      <w:pPr>
        <w:widowControl/>
        <w:ind w:firstLine="622" w:firstLineChars="200"/>
        <w:jc w:val="left"/>
      </w:pPr>
      <w:r>
        <w:rPr>
          <w:rFonts w:hint="eastAsia" w:ascii="楷体" w:hAnsi="楷体" w:eastAsia="楷体" w:cs="楷体"/>
          <w:b/>
          <w:bCs/>
          <w:color w:val="000000"/>
          <w:kern w:val="0"/>
          <w:sz w:val="31"/>
          <w:szCs w:val="31"/>
          <w:lang w:bidi="ar"/>
        </w:rPr>
        <w:t>（三）人员及车辆编制。</w:t>
      </w:r>
      <w:r>
        <w:rPr>
          <w:rFonts w:hint="eastAsia" w:ascii="仿宋_GB2312" w:hAnsi="宋体" w:eastAsia="仿宋_GB2312" w:cs="仿宋_GB2312"/>
          <w:color w:val="000000"/>
          <w:kern w:val="0"/>
          <w:sz w:val="31"/>
          <w:szCs w:val="31"/>
          <w:lang w:bidi="ar"/>
        </w:rPr>
        <w:t xml:space="preserve">局机关现有在编在职人员 </w:t>
      </w:r>
      <w:r>
        <w:rPr>
          <w:color w:val="000000"/>
          <w:kern w:val="0"/>
          <w:sz w:val="31"/>
          <w:szCs w:val="31"/>
          <w:lang w:bidi="ar"/>
        </w:rPr>
        <w:t xml:space="preserve">22 </w:t>
      </w:r>
      <w:r>
        <w:rPr>
          <w:rFonts w:hint="eastAsia" w:ascii="仿宋_GB2312" w:hAnsi="宋体" w:eastAsia="仿宋_GB2312" w:cs="仿宋_GB2312"/>
          <w:color w:val="000000"/>
          <w:kern w:val="0"/>
          <w:sz w:val="31"/>
          <w:szCs w:val="31"/>
          <w:lang w:bidi="ar"/>
        </w:rPr>
        <w:t xml:space="preserve">人（参公管理 </w:t>
      </w:r>
      <w:r>
        <w:rPr>
          <w:color w:val="000000"/>
          <w:kern w:val="0"/>
          <w:sz w:val="31"/>
          <w:szCs w:val="31"/>
          <w:lang w:bidi="ar"/>
        </w:rPr>
        <w:t xml:space="preserve">20 </w:t>
      </w:r>
      <w:r>
        <w:rPr>
          <w:rFonts w:hint="eastAsia" w:ascii="仿宋_GB2312" w:hAnsi="宋体" w:eastAsia="仿宋_GB2312" w:cs="仿宋_GB2312"/>
          <w:color w:val="000000"/>
          <w:kern w:val="0"/>
          <w:sz w:val="31"/>
          <w:szCs w:val="31"/>
          <w:lang w:bidi="ar"/>
        </w:rPr>
        <w:t xml:space="preserve">人、工勤 </w:t>
      </w:r>
      <w:r>
        <w:rPr>
          <w:color w:val="000000"/>
          <w:kern w:val="0"/>
          <w:sz w:val="31"/>
          <w:szCs w:val="31"/>
          <w:lang w:bidi="ar"/>
        </w:rPr>
        <w:t xml:space="preserve">2 </w:t>
      </w:r>
      <w:r>
        <w:rPr>
          <w:rFonts w:hint="eastAsia" w:ascii="仿宋_GB2312" w:hAnsi="宋体" w:eastAsia="仿宋_GB2312" w:cs="仿宋_GB2312"/>
          <w:color w:val="000000"/>
          <w:kern w:val="0"/>
          <w:sz w:val="31"/>
          <w:szCs w:val="31"/>
          <w:lang w:bidi="ar"/>
        </w:rPr>
        <w:t xml:space="preserve">人）、退休 </w:t>
      </w:r>
      <w:r>
        <w:rPr>
          <w:color w:val="000000"/>
          <w:kern w:val="0"/>
          <w:sz w:val="31"/>
          <w:szCs w:val="31"/>
          <w:lang w:bidi="ar"/>
        </w:rPr>
        <w:t xml:space="preserve">16 </w:t>
      </w:r>
      <w:r>
        <w:rPr>
          <w:rFonts w:hint="eastAsia" w:ascii="仿宋_GB2312" w:hAnsi="宋体" w:eastAsia="仿宋_GB2312" w:cs="仿宋_GB2312"/>
          <w:color w:val="000000"/>
          <w:kern w:val="0"/>
          <w:sz w:val="31"/>
          <w:szCs w:val="31"/>
          <w:lang w:bidi="ar"/>
        </w:rPr>
        <w:t xml:space="preserve">人，长期赡养人员 </w:t>
      </w:r>
      <w:r>
        <w:rPr>
          <w:color w:val="000000"/>
          <w:kern w:val="0"/>
          <w:sz w:val="31"/>
          <w:szCs w:val="31"/>
          <w:lang w:bidi="ar"/>
        </w:rPr>
        <w:t xml:space="preserve">2 </w:t>
      </w:r>
      <w:r>
        <w:rPr>
          <w:rFonts w:hint="eastAsia" w:ascii="仿宋_GB2312" w:hAnsi="宋体" w:eastAsia="仿宋_GB2312" w:cs="仿宋_GB2312"/>
          <w:color w:val="000000"/>
          <w:kern w:val="0"/>
          <w:sz w:val="31"/>
          <w:szCs w:val="31"/>
          <w:lang w:bidi="ar"/>
        </w:rPr>
        <w:t xml:space="preserve">人。在编车辆 </w:t>
      </w:r>
      <w:r>
        <w:rPr>
          <w:color w:val="000000"/>
          <w:kern w:val="0"/>
          <w:sz w:val="31"/>
          <w:szCs w:val="31"/>
          <w:lang w:bidi="ar"/>
        </w:rPr>
        <w:t xml:space="preserve">2 </w:t>
      </w:r>
      <w:r>
        <w:rPr>
          <w:rFonts w:hint="eastAsia" w:ascii="仿宋_GB2312" w:hAnsi="宋体" w:eastAsia="仿宋_GB2312" w:cs="仿宋_GB2312"/>
          <w:color w:val="000000"/>
          <w:kern w:val="0"/>
          <w:sz w:val="31"/>
          <w:szCs w:val="31"/>
          <w:lang w:bidi="ar"/>
        </w:rPr>
        <w:t xml:space="preserve">台。 </w:t>
      </w:r>
    </w:p>
    <w:p>
      <w:pPr>
        <w:widowControl/>
        <w:jc w:val="left"/>
      </w:pPr>
      <w:r>
        <w:rPr>
          <w:rFonts w:hint="eastAsia" w:ascii="楷体" w:hAnsi="楷体" w:eastAsia="楷体" w:cs="楷体"/>
          <w:b/>
          <w:bCs/>
          <w:color w:val="000000"/>
          <w:kern w:val="0"/>
          <w:sz w:val="31"/>
          <w:szCs w:val="31"/>
          <w:lang w:bidi="ar"/>
        </w:rPr>
        <w:t xml:space="preserve">（四）经费预算及执行情况 </w:t>
      </w:r>
    </w:p>
    <w:p>
      <w:pPr>
        <w:widowControl/>
        <w:ind w:firstLine="620" w:firstLineChars="200"/>
        <w:jc w:val="left"/>
      </w:pPr>
      <w:r>
        <w:rPr>
          <w:color w:val="000000"/>
          <w:kern w:val="0"/>
          <w:sz w:val="31"/>
          <w:szCs w:val="31"/>
          <w:lang w:bidi="ar"/>
        </w:rPr>
        <w:t>1</w:t>
      </w:r>
      <w:r>
        <w:rPr>
          <w:rFonts w:hint="eastAsia" w:ascii="仿宋_GB2312" w:hAnsi="宋体" w:eastAsia="仿宋_GB2312" w:cs="仿宋_GB2312"/>
          <w:color w:val="000000"/>
          <w:kern w:val="0"/>
          <w:sz w:val="31"/>
          <w:szCs w:val="31"/>
          <w:lang w:bidi="ar"/>
        </w:rPr>
        <w:t xml:space="preserve">、预算情况：上年结转及存量资金安排 </w:t>
      </w:r>
      <w:r>
        <w:rPr>
          <w:rFonts w:hint="eastAsia"/>
          <w:color w:val="000000"/>
          <w:kern w:val="0"/>
          <w:sz w:val="31"/>
          <w:szCs w:val="31"/>
          <w:lang w:bidi="ar"/>
        </w:rPr>
        <w:t>1393.47</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万元； </w:t>
      </w:r>
    </w:p>
    <w:p>
      <w:pPr>
        <w:widowControl/>
        <w:jc w:val="left"/>
      </w:pPr>
      <w:r>
        <w:rPr>
          <w:rFonts w:hint="eastAsia" w:ascii="仿宋_GB2312" w:hAnsi="宋体" w:eastAsia="仿宋_GB2312" w:cs="仿宋_GB2312"/>
          <w:color w:val="000000"/>
          <w:kern w:val="0"/>
          <w:sz w:val="31"/>
          <w:szCs w:val="31"/>
          <w:lang w:bidi="ar"/>
        </w:rPr>
        <w:t xml:space="preserve">年初批准预算为 </w:t>
      </w:r>
      <w:r>
        <w:rPr>
          <w:rFonts w:hint="eastAsia"/>
          <w:color w:val="000000"/>
          <w:kern w:val="0"/>
          <w:sz w:val="31"/>
          <w:szCs w:val="31"/>
          <w:lang w:bidi="ar"/>
        </w:rPr>
        <w:t>521.65</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万元，追加预算 </w:t>
      </w:r>
      <w:r>
        <w:rPr>
          <w:rFonts w:hint="eastAsia"/>
          <w:color w:val="000000"/>
          <w:kern w:val="0"/>
          <w:sz w:val="31"/>
          <w:szCs w:val="31"/>
          <w:lang w:bidi="ar"/>
        </w:rPr>
        <w:t>3482.08</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万元，本年度财政预算收入合计 </w:t>
      </w:r>
      <w:r>
        <w:rPr>
          <w:rFonts w:hint="eastAsia"/>
          <w:color w:val="000000"/>
          <w:kern w:val="0"/>
          <w:sz w:val="31"/>
          <w:szCs w:val="31"/>
          <w:lang w:bidi="ar"/>
        </w:rPr>
        <w:t>4143.08</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万元。 </w:t>
      </w:r>
    </w:p>
    <w:p>
      <w:pPr>
        <w:widowControl/>
        <w:ind w:firstLine="620" w:firstLineChars="200"/>
        <w:jc w:val="left"/>
      </w:pPr>
      <w:r>
        <w:rPr>
          <w:color w:val="000000"/>
          <w:kern w:val="0"/>
          <w:sz w:val="31"/>
          <w:szCs w:val="31"/>
          <w:lang w:bidi="ar"/>
        </w:rPr>
        <w:t>2</w:t>
      </w:r>
      <w:r>
        <w:rPr>
          <w:rFonts w:hint="eastAsia" w:ascii="仿宋_GB2312" w:hAnsi="宋体" w:eastAsia="仿宋_GB2312" w:cs="仿宋_GB2312"/>
          <w:color w:val="000000"/>
          <w:kern w:val="0"/>
          <w:sz w:val="31"/>
          <w:szCs w:val="31"/>
          <w:lang w:bidi="ar"/>
        </w:rPr>
        <w:t>、执行情况：基本支出：</w:t>
      </w:r>
      <w:r>
        <w:rPr>
          <w:rFonts w:hint="eastAsia"/>
          <w:color w:val="000000"/>
          <w:kern w:val="0"/>
          <w:sz w:val="31"/>
          <w:szCs w:val="31"/>
          <w:lang w:bidi="ar"/>
        </w:rPr>
        <w:t>494.53</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万元；项目支出3648.84</w:t>
      </w:r>
      <w:r>
        <w:rPr>
          <w:color w:val="000000"/>
          <w:kern w:val="0"/>
          <w:sz w:val="31"/>
          <w:szCs w:val="31"/>
          <w:lang w:bidi="ar"/>
        </w:rPr>
        <w:t xml:space="preserve"> </w:t>
      </w:r>
    </w:p>
    <w:p>
      <w:pPr>
        <w:widowControl/>
        <w:jc w:val="left"/>
      </w:pPr>
      <w:r>
        <w:rPr>
          <w:rFonts w:hint="eastAsia" w:ascii="仿宋_GB2312" w:hAnsi="宋体" w:eastAsia="仿宋_GB2312" w:cs="仿宋_GB2312"/>
          <w:color w:val="000000"/>
          <w:kern w:val="0"/>
          <w:sz w:val="31"/>
          <w:szCs w:val="31"/>
          <w:lang w:bidi="ar"/>
        </w:rPr>
        <w:t xml:space="preserve">万元，共计 </w:t>
      </w:r>
      <w:r>
        <w:rPr>
          <w:rFonts w:hint="eastAsia"/>
          <w:color w:val="000000"/>
          <w:kern w:val="0"/>
          <w:sz w:val="31"/>
          <w:szCs w:val="31"/>
          <w:lang w:bidi="ar"/>
        </w:rPr>
        <w:t>4143.08</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万元，占预算100</w:t>
      </w:r>
      <w:r>
        <w:rPr>
          <w:color w:val="000000"/>
          <w:kern w:val="0"/>
          <w:sz w:val="31"/>
          <w:szCs w:val="31"/>
          <w:lang w:bidi="ar"/>
        </w:rPr>
        <w:t>%</w:t>
      </w:r>
      <w:r>
        <w:rPr>
          <w:rFonts w:hint="eastAsia" w:ascii="仿宋_GB2312" w:hAnsi="宋体" w:eastAsia="仿宋_GB2312" w:cs="仿宋_GB2312"/>
          <w:color w:val="000000"/>
          <w:kern w:val="0"/>
          <w:sz w:val="31"/>
          <w:szCs w:val="31"/>
          <w:lang w:bidi="ar"/>
        </w:rPr>
        <w:t xml:space="preserve">。 </w:t>
      </w:r>
    </w:p>
    <w:p>
      <w:pPr>
        <w:widowControl/>
        <w:jc w:val="left"/>
      </w:pPr>
      <w:r>
        <w:rPr>
          <w:rFonts w:hint="eastAsia" w:ascii="黑体" w:hAnsi="宋体" w:eastAsia="黑体" w:cs="黑体"/>
          <w:color w:val="000000"/>
          <w:kern w:val="0"/>
          <w:sz w:val="31"/>
          <w:szCs w:val="31"/>
          <w:lang w:bidi="ar"/>
        </w:rPr>
        <w:t xml:space="preserve">二、项目资金情况 </w:t>
      </w:r>
    </w:p>
    <w:p>
      <w:pPr>
        <w:widowControl/>
        <w:ind w:firstLine="622" w:firstLineChars="200"/>
        <w:jc w:val="left"/>
      </w:pPr>
      <w:r>
        <w:rPr>
          <w:rFonts w:hint="eastAsia" w:ascii="楷体" w:hAnsi="楷体" w:eastAsia="楷体" w:cs="楷体"/>
          <w:b/>
          <w:bCs/>
          <w:color w:val="000000"/>
          <w:kern w:val="0"/>
          <w:sz w:val="31"/>
          <w:szCs w:val="31"/>
          <w:lang w:bidi="ar"/>
        </w:rPr>
        <w:t>（一）项目预算及使用情况。</w:t>
      </w:r>
      <w:r>
        <w:rPr>
          <w:color w:val="000000"/>
          <w:kern w:val="0"/>
          <w:sz w:val="31"/>
          <w:szCs w:val="31"/>
          <w:lang w:bidi="ar"/>
        </w:rPr>
        <w:t>202</w:t>
      </w:r>
      <w:r>
        <w:rPr>
          <w:rFonts w:hint="eastAsia"/>
          <w:color w:val="000000"/>
          <w:kern w:val="0"/>
          <w:sz w:val="31"/>
          <w:szCs w:val="31"/>
          <w:lang w:bidi="ar"/>
        </w:rPr>
        <w:t>2</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年度，财政预算（含上年结转及追加）项目收入共计 </w:t>
      </w:r>
      <w:r>
        <w:rPr>
          <w:rFonts w:hint="eastAsia"/>
          <w:color w:val="000000"/>
          <w:kern w:val="0"/>
          <w:sz w:val="31"/>
          <w:szCs w:val="31"/>
          <w:lang w:bidi="ar"/>
        </w:rPr>
        <w:t>3648.54</w:t>
      </w:r>
      <w:r>
        <w:rPr>
          <w:rFonts w:hint="eastAsia" w:ascii="仿宋_GB2312" w:hAnsi="宋体" w:eastAsia="仿宋_GB2312" w:cs="仿宋_GB2312"/>
          <w:color w:val="000000"/>
          <w:kern w:val="0"/>
          <w:sz w:val="31"/>
          <w:szCs w:val="31"/>
          <w:lang w:bidi="ar"/>
        </w:rPr>
        <w:t xml:space="preserve">万元，其中：上年结转及存量资金安排 </w:t>
      </w:r>
      <w:r>
        <w:rPr>
          <w:rFonts w:hint="eastAsia"/>
          <w:color w:val="000000"/>
          <w:kern w:val="0"/>
          <w:sz w:val="31"/>
          <w:szCs w:val="31"/>
          <w:lang w:bidi="ar"/>
        </w:rPr>
        <w:t>139.35</w:t>
      </w:r>
      <w:r>
        <w:rPr>
          <w:rFonts w:hint="eastAsia" w:ascii="仿宋_GB2312" w:hAnsi="宋体" w:eastAsia="仿宋_GB2312" w:cs="仿宋_GB2312"/>
          <w:color w:val="000000"/>
          <w:kern w:val="0"/>
          <w:sz w:val="31"/>
          <w:szCs w:val="31"/>
          <w:lang w:bidi="ar"/>
        </w:rPr>
        <w:t xml:space="preserve">万元、年度预算 </w:t>
      </w:r>
      <w:r>
        <w:rPr>
          <w:rFonts w:hint="eastAsia"/>
          <w:color w:val="000000"/>
          <w:kern w:val="0"/>
          <w:sz w:val="31"/>
          <w:szCs w:val="31"/>
          <w:lang w:bidi="ar"/>
        </w:rPr>
        <w:t>3509.20</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万元，项目支出 </w:t>
      </w:r>
      <w:r>
        <w:rPr>
          <w:rFonts w:hint="eastAsia"/>
          <w:color w:val="000000"/>
          <w:kern w:val="0"/>
          <w:sz w:val="31"/>
          <w:szCs w:val="31"/>
          <w:lang w:bidi="ar"/>
        </w:rPr>
        <w:t>3648.54</w:t>
      </w:r>
      <w:r>
        <w:rPr>
          <w:rFonts w:hint="eastAsia" w:ascii="仿宋_GB2312" w:hAnsi="宋体" w:eastAsia="仿宋_GB2312" w:cs="仿宋_GB2312"/>
          <w:color w:val="000000"/>
          <w:kern w:val="0"/>
          <w:sz w:val="31"/>
          <w:szCs w:val="31"/>
          <w:lang w:bidi="ar"/>
        </w:rPr>
        <w:t xml:space="preserve">万元，占项目预算 </w:t>
      </w:r>
      <w:r>
        <w:rPr>
          <w:rFonts w:hint="eastAsia"/>
          <w:color w:val="000000"/>
          <w:kern w:val="0"/>
          <w:sz w:val="31"/>
          <w:szCs w:val="31"/>
          <w:lang w:bidi="ar"/>
        </w:rPr>
        <w:t>100</w:t>
      </w:r>
      <w:r>
        <w:rPr>
          <w:color w:val="000000"/>
          <w:kern w:val="0"/>
          <w:sz w:val="31"/>
          <w:szCs w:val="31"/>
          <w:lang w:bidi="ar"/>
        </w:rPr>
        <w:t>%</w:t>
      </w:r>
      <w:r>
        <w:rPr>
          <w:rFonts w:hint="eastAsia" w:ascii="仿宋_GB2312" w:hAnsi="宋体" w:eastAsia="仿宋_GB2312" w:cs="仿宋_GB2312"/>
          <w:color w:val="000000"/>
          <w:kern w:val="0"/>
          <w:sz w:val="31"/>
          <w:szCs w:val="31"/>
          <w:lang w:bidi="ar"/>
        </w:rPr>
        <w:t xml:space="preserve">。 </w:t>
      </w:r>
    </w:p>
    <w:p>
      <w:pPr>
        <w:widowControl/>
        <w:ind w:firstLine="622" w:firstLineChars="200"/>
        <w:jc w:val="left"/>
      </w:pPr>
      <w:r>
        <w:rPr>
          <w:rFonts w:hint="eastAsia" w:ascii="楷体" w:hAnsi="楷体" w:eastAsia="楷体" w:cs="楷体"/>
          <w:b/>
          <w:bCs/>
          <w:color w:val="000000"/>
          <w:kern w:val="0"/>
          <w:sz w:val="31"/>
          <w:szCs w:val="31"/>
          <w:lang w:bidi="ar"/>
        </w:rPr>
        <w:t>（二）项目资金管理情况。</w:t>
      </w:r>
      <w:r>
        <w:rPr>
          <w:rFonts w:hint="eastAsia" w:ascii="仿宋_GB2312" w:hAnsi="宋体" w:eastAsia="仿宋_GB2312" w:cs="仿宋_GB2312"/>
          <w:color w:val="000000"/>
          <w:kern w:val="0"/>
          <w:sz w:val="31"/>
          <w:szCs w:val="31"/>
          <w:lang w:bidi="ar"/>
        </w:rPr>
        <w:t>项目预算申报设立合理，编 制科学并依照规定对项目的实施严格管理。通过业务科室、分管领导结合内部控制制度严格把关，并逗硬考核，确保各项目有序推进。依据财政对项目资金使用管理、绩效评价等和按财政批复核算到具体明细项目，专</w:t>
      </w:r>
      <w:r>
        <w:rPr>
          <w:rFonts w:hint="eastAsia" w:ascii="仿宋_GB2312" w:hAnsi="宋体" w:eastAsia="仿宋_GB2312" w:cs="仿宋_GB2312"/>
          <w:color w:val="000000"/>
          <w:kern w:val="0"/>
          <w:sz w:val="31"/>
          <w:szCs w:val="31"/>
          <w:lang w:eastAsia="zh-CN" w:bidi="ar"/>
        </w:rPr>
        <w:t>账核算</w:t>
      </w:r>
      <w:bookmarkStart w:id="102" w:name="_GoBack"/>
      <w:bookmarkEnd w:id="102"/>
      <w:r>
        <w:rPr>
          <w:rFonts w:hint="eastAsia" w:ascii="仿宋_GB2312" w:hAnsi="宋体" w:eastAsia="仿宋_GB2312" w:cs="仿宋_GB2312"/>
          <w:color w:val="000000"/>
          <w:kern w:val="0"/>
          <w:sz w:val="31"/>
          <w:szCs w:val="31"/>
          <w:lang w:bidi="ar"/>
        </w:rPr>
        <w:t xml:space="preserve">，对项目资金实行严格管理，确保项目资金安全、合规、有效使用。 </w:t>
      </w:r>
    </w:p>
    <w:p>
      <w:pPr>
        <w:widowControl/>
        <w:ind w:firstLine="622" w:firstLineChars="200"/>
        <w:jc w:val="left"/>
      </w:pPr>
      <w:r>
        <w:rPr>
          <w:rFonts w:hint="eastAsia" w:ascii="楷体" w:hAnsi="楷体" w:eastAsia="楷体" w:cs="楷体"/>
          <w:b/>
          <w:bCs/>
          <w:color w:val="000000"/>
          <w:kern w:val="0"/>
          <w:sz w:val="31"/>
          <w:szCs w:val="31"/>
          <w:lang w:bidi="ar"/>
        </w:rPr>
        <w:t>（三）项目实施及效益情况。</w:t>
      </w:r>
      <w:r>
        <w:rPr>
          <w:color w:val="000000"/>
          <w:kern w:val="0"/>
          <w:sz w:val="31"/>
          <w:szCs w:val="31"/>
          <w:lang w:bidi="ar"/>
        </w:rPr>
        <w:t>202</w:t>
      </w:r>
      <w:r>
        <w:rPr>
          <w:rFonts w:hint="eastAsia"/>
          <w:color w:val="000000"/>
          <w:kern w:val="0"/>
          <w:sz w:val="31"/>
          <w:szCs w:val="31"/>
          <w:lang w:bidi="ar"/>
        </w:rPr>
        <w:t>2</w:t>
      </w:r>
      <w:r>
        <w:rPr>
          <w:color w:val="000000"/>
          <w:kern w:val="0"/>
          <w:sz w:val="31"/>
          <w:szCs w:val="31"/>
          <w:lang w:bidi="ar"/>
        </w:rPr>
        <w:t xml:space="preserve"> </w:t>
      </w:r>
      <w:r>
        <w:rPr>
          <w:rFonts w:hint="eastAsia" w:ascii="仿宋_GB2312" w:hAnsi="宋体" w:eastAsia="仿宋_GB2312" w:cs="仿宋_GB2312"/>
          <w:color w:val="000000"/>
          <w:kern w:val="0"/>
          <w:sz w:val="31"/>
          <w:szCs w:val="31"/>
          <w:lang w:bidi="ar"/>
        </w:rPr>
        <w:t>年，在市委市政府和 市交通运输局的坚强领导下，紧扣</w:t>
      </w:r>
      <w:r>
        <w:rPr>
          <w:color w:val="000000"/>
          <w:kern w:val="0"/>
          <w:sz w:val="31"/>
          <w:szCs w:val="31"/>
          <w:lang w:bidi="ar"/>
        </w:rPr>
        <w:t>“</w:t>
      </w:r>
      <w:r>
        <w:rPr>
          <w:rFonts w:hint="eastAsia" w:ascii="仿宋_GB2312" w:hAnsi="宋体" w:eastAsia="仿宋_GB2312" w:cs="仿宋_GB2312"/>
          <w:color w:val="000000"/>
          <w:kern w:val="0"/>
          <w:sz w:val="31"/>
          <w:szCs w:val="31"/>
          <w:lang w:bidi="ar"/>
        </w:rPr>
        <w:t>交通建设突破</w:t>
      </w:r>
      <w:r>
        <w:rPr>
          <w:color w:val="000000"/>
          <w:kern w:val="0"/>
          <w:sz w:val="31"/>
          <w:szCs w:val="31"/>
          <w:lang w:bidi="ar"/>
        </w:rPr>
        <w:t>”</w:t>
      </w:r>
      <w:r>
        <w:rPr>
          <w:rFonts w:hint="eastAsia" w:ascii="仿宋_GB2312" w:hAnsi="宋体" w:eastAsia="仿宋_GB2312" w:cs="仿宋_GB2312"/>
          <w:color w:val="000000"/>
          <w:kern w:val="0"/>
          <w:sz w:val="31"/>
          <w:szCs w:val="31"/>
          <w:lang w:bidi="ar"/>
        </w:rPr>
        <w:t>，各项目标任务全面完成。</w:t>
      </w:r>
      <w:r>
        <w:rPr>
          <w:rFonts w:hint="eastAsia" w:ascii="方正仿宋_GB2312" w:hAnsi="方正仿宋_GB2312" w:eastAsia="方正仿宋_GB2312" w:cs="方正仿宋_GB2312"/>
          <w:color w:val="000000"/>
          <w:kern w:val="0"/>
          <w:sz w:val="31"/>
          <w:szCs w:val="31"/>
          <w:lang w:bidi="ar"/>
        </w:rPr>
        <w:t>一</w:t>
      </w:r>
      <w:r>
        <w:rPr>
          <w:rFonts w:hint="eastAsia" w:ascii="仿宋_GB2312" w:hAnsi="宋体" w:eastAsia="仿宋_GB2312" w:cs="仿宋_GB2312"/>
          <w:color w:val="000000"/>
          <w:kern w:val="0"/>
          <w:sz w:val="31"/>
          <w:szCs w:val="31"/>
          <w:lang w:bidi="ar"/>
        </w:rPr>
        <w:t xml:space="preserve">是大力提升普通国省干线管养能力建设，实施预防性养护、修复性养护5249公里，实施养护工程21个143公里，改造危桥17座，普通国省干线PQI持续保持在90以上，位居全省前列，并顺利通过交通运输部2022年度全国干线公路养护管理评价。二是持续加强桥梁检测，对全市特大桥、大桥等74座开展桥梁定期检测工作，并督促管养单位对新发现的国省干线公路桥梁危病桥实施整治，确保了桥梁安全运营。三是推动“四好农村路”示范创建从区域示范引领向全域达标发展转变，并成功创建“四好农村路”省级示范市，获得省级奖励补助资金2500万元。四是农村公路管护常态长效。全域推行农村公路管护“路长制”，实现农村公路管护体系构建率、爱路护路乡（村）规民约制定率、农村公路列养率3个100%，经验做法受到交通运输部点赞推广。五是加快持续推进农村公路建设，新（改）建农村公路724公里，通组路491公里，建成农村铁索桥改公路桥9座、乡镇第二生命救援通道22公里，实施农村公路生命防护工程2428公里，建成乡村振兴产业路旅游路95.4公里。六是严格落实农村公路建设质量市级抽检制度，对2022年度实施的农村公路项目按照不低于20%的比例进行了抽检，并将抽检结果抄送县区，对不达标的路段立即整改，并同步加强农村公路后期养护管理。 </w:t>
      </w:r>
    </w:p>
    <w:p>
      <w:pPr>
        <w:widowControl/>
        <w:ind w:firstLine="620" w:firstLineChars="200"/>
        <w:jc w:val="left"/>
      </w:pPr>
      <w:r>
        <w:rPr>
          <w:rFonts w:hint="eastAsia" w:ascii="仿宋_GB2312" w:hAnsi="宋体" w:eastAsia="仿宋_GB2312" w:cs="仿宋_GB2312"/>
          <w:color w:val="000000"/>
          <w:kern w:val="0"/>
          <w:sz w:val="31"/>
          <w:szCs w:val="31"/>
          <w:lang w:bidi="ar"/>
        </w:rPr>
        <w:t xml:space="preserve">通过自评，项目资金严格按实施进度支付，项目规划及 </w:t>
      </w:r>
    </w:p>
    <w:p>
      <w:pPr>
        <w:widowControl/>
        <w:jc w:val="left"/>
      </w:pPr>
      <w:r>
        <w:rPr>
          <w:rFonts w:hint="eastAsia" w:ascii="仿宋_GB2312" w:hAnsi="宋体" w:eastAsia="仿宋_GB2312" w:cs="仿宋_GB2312"/>
          <w:color w:val="000000"/>
          <w:kern w:val="0"/>
          <w:sz w:val="31"/>
          <w:szCs w:val="31"/>
          <w:lang w:bidi="ar"/>
        </w:rPr>
        <w:t xml:space="preserve">方案设计合理，财务管理及督查制度健全并严格执行，实行 </w:t>
      </w:r>
    </w:p>
    <w:p>
      <w:pPr>
        <w:widowControl/>
        <w:jc w:val="left"/>
      </w:pPr>
      <w:r>
        <w:rPr>
          <w:rFonts w:hint="eastAsia" w:ascii="仿宋_GB2312" w:hAnsi="宋体" w:eastAsia="仿宋_GB2312" w:cs="仿宋_GB2312"/>
          <w:color w:val="000000"/>
          <w:kern w:val="0"/>
          <w:sz w:val="31"/>
          <w:szCs w:val="31"/>
          <w:lang w:bidi="ar"/>
        </w:rPr>
        <w:t xml:space="preserve">了专项核算，核算准确、规范，绩效目标实现了年初制定的 </w:t>
      </w:r>
    </w:p>
    <w:p>
      <w:pPr>
        <w:widowControl/>
        <w:jc w:val="left"/>
      </w:pPr>
      <w:r>
        <w:rPr>
          <w:rFonts w:hint="eastAsia" w:ascii="仿宋_GB2312" w:hAnsi="宋体" w:eastAsia="仿宋_GB2312" w:cs="仿宋_GB2312"/>
          <w:color w:val="000000"/>
          <w:kern w:val="0"/>
          <w:sz w:val="31"/>
          <w:szCs w:val="31"/>
          <w:lang w:bidi="ar"/>
        </w:rPr>
        <w:t xml:space="preserve">各项目标任务。自评得分 </w:t>
      </w:r>
      <w:r>
        <w:rPr>
          <w:color w:val="000000"/>
          <w:kern w:val="0"/>
          <w:sz w:val="31"/>
          <w:szCs w:val="31"/>
          <w:lang w:bidi="ar"/>
        </w:rPr>
        <w:t>9</w:t>
      </w:r>
      <w:r>
        <w:rPr>
          <w:rFonts w:hint="eastAsia"/>
          <w:color w:val="000000"/>
          <w:kern w:val="0"/>
          <w:sz w:val="31"/>
          <w:szCs w:val="31"/>
          <w:lang w:bidi="ar"/>
        </w:rPr>
        <w:t>6</w:t>
      </w:r>
      <w:r>
        <w:rPr>
          <w:rFonts w:hint="eastAsia" w:ascii="仿宋_GB2312" w:hAnsi="宋体" w:eastAsia="仿宋_GB2312" w:cs="仿宋_GB2312"/>
          <w:color w:val="000000"/>
          <w:kern w:val="0"/>
          <w:sz w:val="31"/>
          <w:szCs w:val="31"/>
          <w:lang w:bidi="ar"/>
        </w:rPr>
        <w:t xml:space="preserve">分。 </w:t>
      </w:r>
    </w:p>
    <w:p>
      <w:pPr>
        <w:pStyle w:val="3"/>
        <w:spacing w:line="576" w:lineRule="exact"/>
        <w:ind w:firstLine="640"/>
        <w:rPr>
          <w:rFonts w:ascii="黑体" w:hAnsi="黑体" w:eastAsia="黑体" w:cs="Times New Roman"/>
          <w:color w:val="000000"/>
          <w:szCs w:val="24"/>
        </w:rPr>
      </w:pPr>
      <w:r>
        <w:rPr>
          <w:rFonts w:hint="eastAsia" w:ascii="黑体" w:hAnsi="黑体" w:eastAsia="黑体" w:cs="Times New Roman"/>
          <w:color w:val="000000"/>
          <w:szCs w:val="24"/>
        </w:rPr>
        <w:t>三、评价结论及建议</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widowControl/>
        <w:adjustRightInd w:val="0"/>
        <w:snapToGrid w:val="0"/>
        <w:spacing w:line="560" w:lineRule="exact"/>
        <w:ind w:firstLine="640" w:firstLineChars="200"/>
        <w:contextualSpacing/>
        <w:jc w:val="left"/>
        <w:rPr>
          <w:rFonts w:ascii="楷体_GB2312" w:hAnsi="楷体_GB2312" w:eastAsia="楷体_GB2312" w:cs="楷体_GB2312"/>
          <w:kern w:val="0"/>
          <w:sz w:val="32"/>
          <w:szCs w:val="32"/>
          <w:shd w:val="clear" w:color="auto" w:fill="FFFFFF"/>
        </w:rPr>
      </w:pPr>
      <w:r>
        <w:rPr>
          <w:rFonts w:hint="eastAsia" w:ascii="仿宋_GB2312" w:hAnsi="仿宋" w:eastAsia="仿宋_GB2312"/>
          <w:sz w:val="32"/>
          <w:szCs w:val="32"/>
        </w:rPr>
        <w:t>预算编制程序合规、信息准确，动态调整及时，专项预算符合相关法律法规及政策规定，目标绩效完成较好，资金管理制度健全，资金使用较为规范，制度执行较好，支出控制严格，达到了预期目标。</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widowControl/>
        <w:adjustRightInd w:val="0"/>
        <w:snapToGrid w:val="0"/>
        <w:spacing w:line="560" w:lineRule="exact"/>
        <w:ind w:firstLine="640" w:firstLineChars="200"/>
        <w:contextualSpacing/>
        <w:jc w:val="left"/>
        <w:rPr>
          <w:rFonts w:ascii="仿宋_GB2312" w:hAnsi="仿宋" w:eastAsia="仿宋_GB2312"/>
          <w:sz w:val="32"/>
          <w:szCs w:val="32"/>
        </w:rPr>
      </w:pPr>
      <w:r>
        <w:rPr>
          <w:rFonts w:ascii="仿宋_GB2312" w:hAnsi="宋体" w:eastAsia="仿宋_GB2312" w:cs="仿宋_GB2312"/>
          <w:color w:val="333333"/>
          <w:sz w:val="32"/>
          <w:szCs w:val="32"/>
          <w:shd w:val="clear" w:color="auto" w:fill="FFFFFF"/>
        </w:rPr>
        <w:t>个别项目资金拨付进度比较缓慢</w:t>
      </w:r>
      <w:r>
        <w:rPr>
          <w:rFonts w:hint="eastAsia" w:ascii="仿宋_GB2312" w:hAnsi="仿宋" w:eastAsia="仿宋_GB2312"/>
          <w:sz w:val="32"/>
          <w:szCs w:val="32"/>
        </w:rPr>
        <w:t>。</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widowControl/>
        <w:adjustRightInd w:val="0"/>
        <w:snapToGrid w:val="0"/>
        <w:spacing w:line="560" w:lineRule="exact"/>
        <w:ind w:firstLine="643" w:firstLineChars="200"/>
        <w:contextualSpacing/>
        <w:jc w:val="left"/>
        <w:rPr>
          <w:rFonts w:ascii="仿宋_GB2312" w:hAnsi="仿宋" w:eastAsia="仿宋_GB2312"/>
          <w:sz w:val="32"/>
          <w:szCs w:val="32"/>
        </w:rPr>
      </w:pPr>
      <w:r>
        <w:rPr>
          <w:rFonts w:ascii="仿宋_GB2312" w:hAnsi="微软雅黑" w:eastAsia="仿宋_GB2312" w:cs="仿宋_GB2312"/>
          <w:b/>
          <w:bCs/>
          <w:color w:val="333333"/>
          <w:sz w:val="32"/>
          <w:szCs w:val="32"/>
          <w:shd w:val="clear" w:color="auto" w:fill="FFFFFF"/>
        </w:rPr>
        <w:t>一是</w:t>
      </w:r>
      <w:r>
        <w:rPr>
          <w:rFonts w:hint="eastAsia" w:ascii="仿宋_GB2312" w:hAnsi="宋体" w:eastAsia="仿宋_GB2312" w:cs="仿宋_GB2312"/>
          <w:color w:val="333333"/>
          <w:sz w:val="32"/>
          <w:szCs w:val="32"/>
          <w:shd w:val="clear" w:color="auto" w:fill="FFFFFF"/>
        </w:rPr>
        <w:t>加强预算编制的前期调查研究，进一步提升预算编制的科学性。</w:t>
      </w:r>
      <w:r>
        <w:rPr>
          <w:rFonts w:hint="eastAsia" w:ascii="仿宋_GB2312" w:hAnsi="微软雅黑" w:eastAsia="仿宋_GB2312" w:cs="仿宋_GB2312"/>
          <w:b/>
          <w:bCs/>
          <w:color w:val="333333"/>
          <w:sz w:val="32"/>
          <w:szCs w:val="32"/>
          <w:shd w:val="clear" w:color="auto" w:fill="FFFFFF"/>
        </w:rPr>
        <w:t>二是</w:t>
      </w:r>
      <w:r>
        <w:rPr>
          <w:rFonts w:hint="eastAsia" w:ascii="仿宋_GB2312" w:hAnsi="宋体" w:eastAsia="仿宋_GB2312" w:cs="仿宋_GB2312"/>
          <w:color w:val="333333"/>
          <w:sz w:val="32"/>
          <w:szCs w:val="32"/>
          <w:shd w:val="clear" w:color="auto" w:fill="FFFFFF"/>
        </w:rPr>
        <w:t>加强预算执行管理，及时掌握预算执行进度</w:t>
      </w:r>
      <w:r>
        <w:rPr>
          <w:rFonts w:hint="eastAsia" w:ascii="仿宋_GB2312" w:hAnsi="仿宋" w:eastAsia="仿宋_GB2312"/>
          <w:sz w:val="32"/>
          <w:szCs w:val="32"/>
        </w:rPr>
        <w:t>。</w:t>
      </w: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spacing w:line="600" w:lineRule="exact"/>
        <w:jc w:val="center"/>
        <w:outlineLvl w:val="0"/>
        <w:rPr>
          <w:rFonts w:ascii="仿宋" w:hAnsi="仿宋" w:eastAsia="仿宋"/>
        </w:rPr>
      </w:pPr>
      <w:bookmarkStart w:id="75" w:name="_Toc23972"/>
      <w:r>
        <w:rPr>
          <w:rFonts w:hint="eastAsia" w:ascii="黑体" w:hAnsi="黑体" w:eastAsia="黑体"/>
          <w:sz w:val="44"/>
          <w:szCs w:val="44"/>
        </w:rPr>
        <w:t>第</w:t>
      </w:r>
      <w:r>
        <w:rPr>
          <w:rStyle w:val="25"/>
          <w:rFonts w:hint="eastAsia" w:ascii="黑体" w:hAnsi="黑体" w:eastAsia="黑体"/>
          <w:b w:val="0"/>
        </w:rPr>
        <w:t>五部分 附表</w:t>
      </w:r>
      <w:bookmarkEnd w:id="71"/>
      <w:bookmarkEnd w:id="74"/>
      <w:bookmarkEnd w:id="75"/>
      <w:bookmarkStart w:id="76" w:name="_Toc15396619"/>
    </w:p>
    <w:p>
      <w:pPr>
        <w:pStyle w:val="3"/>
        <w:rPr>
          <w:rFonts w:ascii="仿宋" w:hAnsi="仿宋" w:eastAsia="仿宋"/>
        </w:rPr>
      </w:pPr>
      <w:bookmarkStart w:id="77" w:name="_Toc16284"/>
      <w:r>
        <w:rPr>
          <w:rFonts w:hint="eastAsia" w:ascii="仿宋" w:hAnsi="仿宋" w:eastAsia="仿宋"/>
          <w:b w:val="0"/>
        </w:rPr>
        <w:t>一、收</w:t>
      </w:r>
      <w:r>
        <w:rPr>
          <w:rStyle w:val="26"/>
          <w:rFonts w:hint="eastAsia" w:ascii="仿宋" w:hAnsi="仿宋" w:eastAsia="仿宋"/>
          <w:b w:val="0"/>
          <w:bCs w:val="0"/>
        </w:rPr>
        <w:t>入支出决算总表</w:t>
      </w:r>
      <w:bookmarkEnd w:id="76"/>
      <w:bookmarkEnd w:id="77"/>
    </w:p>
    <w:p>
      <w:pPr>
        <w:pStyle w:val="3"/>
        <w:rPr>
          <w:rFonts w:ascii="仿宋" w:hAnsi="仿宋" w:eastAsia="仿宋"/>
        </w:rPr>
      </w:pPr>
      <w:bookmarkStart w:id="78" w:name="_Toc13562"/>
      <w:bookmarkStart w:id="79" w:name="_Toc15396620"/>
      <w:r>
        <w:rPr>
          <w:rFonts w:hint="eastAsia" w:ascii="仿宋" w:hAnsi="仿宋" w:eastAsia="仿宋"/>
          <w:b w:val="0"/>
        </w:rPr>
        <w:t>二、收</w:t>
      </w:r>
      <w:r>
        <w:rPr>
          <w:rStyle w:val="26"/>
          <w:rFonts w:hint="eastAsia" w:ascii="仿宋" w:hAnsi="仿宋" w:eastAsia="仿宋"/>
          <w:b w:val="0"/>
          <w:bCs w:val="0"/>
        </w:rPr>
        <w:t>入决算表</w:t>
      </w:r>
      <w:bookmarkEnd w:id="78"/>
      <w:bookmarkEnd w:id="79"/>
    </w:p>
    <w:p>
      <w:pPr>
        <w:pStyle w:val="3"/>
        <w:rPr>
          <w:rFonts w:ascii="仿宋" w:hAnsi="仿宋" w:eastAsia="仿宋"/>
        </w:rPr>
      </w:pPr>
      <w:bookmarkStart w:id="80" w:name="_Toc29633"/>
      <w:bookmarkStart w:id="81"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80"/>
      <w:bookmarkEnd w:id="81"/>
    </w:p>
    <w:p>
      <w:pPr>
        <w:pStyle w:val="3"/>
        <w:rPr>
          <w:rFonts w:ascii="仿宋" w:hAnsi="仿宋" w:eastAsia="仿宋"/>
          <w:b w:val="0"/>
        </w:rPr>
      </w:pPr>
      <w:bookmarkStart w:id="82" w:name="_Toc18612"/>
      <w:bookmarkStart w:id="83"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82"/>
      <w:bookmarkEnd w:id="83"/>
    </w:p>
    <w:p>
      <w:pPr>
        <w:pStyle w:val="3"/>
        <w:rPr>
          <w:rStyle w:val="26"/>
          <w:rFonts w:ascii="仿宋" w:hAnsi="仿宋" w:eastAsia="仿宋"/>
          <w:b w:val="0"/>
          <w:bCs w:val="0"/>
        </w:rPr>
      </w:pPr>
      <w:bookmarkStart w:id="84" w:name="_Toc15396623"/>
      <w:bookmarkStart w:id="85" w:name="_Toc3126"/>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84"/>
      <w:bookmarkEnd w:id="85"/>
      <w:bookmarkStart w:id="86" w:name="_Toc15396624"/>
    </w:p>
    <w:p>
      <w:pPr>
        <w:pStyle w:val="3"/>
        <w:rPr>
          <w:rFonts w:ascii="仿宋" w:hAnsi="仿宋" w:eastAsia="仿宋"/>
        </w:rPr>
      </w:pPr>
      <w:bookmarkStart w:id="87" w:name="_Toc22549"/>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86"/>
      <w:bookmarkEnd w:id="87"/>
    </w:p>
    <w:p>
      <w:pPr>
        <w:pStyle w:val="3"/>
        <w:rPr>
          <w:rFonts w:ascii="仿宋" w:hAnsi="仿宋" w:eastAsia="仿宋"/>
        </w:rPr>
      </w:pPr>
      <w:bookmarkStart w:id="88" w:name="_Toc15396625"/>
      <w:bookmarkStart w:id="89" w:name="_Toc22772"/>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88"/>
      <w:bookmarkEnd w:id="89"/>
    </w:p>
    <w:p>
      <w:pPr>
        <w:pStyle w:val="3"/>
        <w:rPr>
          <w:rFonts w:ascii="仿宋" w:hAnsi="仿宋" w:eastAsia="仿宋"/>
        </w:rPr>
      </w:pPr>
      <w:bookmarkStart w:id="90" w:name="_Toc29136"/>
      <w:bookmarkStart w:id="9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90"/>
      <w:bookmarkEnd w:id="91"/>
    </w:p>
    <w:p>
      <w:pPr>
        <w:pStyle w:val="3"/>
        <w:rPr>
          <w:rFonts w:ascii="仿宋" w:hAnsi="仿宋" w:eastAsia="仿宋"/>
        </w:rPr>
      </w:pPr>
      <w:bookmarkStart w:id="92" w:name="_Toc14853"/>
      <w:bookmarkStart w:id="93"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92"/>
      <w:bookmarkEnd w:id="93"/>
    </w:p>
    <w:p>
      <w:pPr>
        <w:pStyle w:val="3"/>
        <w:rPr>
          <w:rFonts w:ascii="仿宋" w:hAnsi="仿宋" w:eastAsia="仿宋"/>
        </w:rPr>
      </w:pPr>
      <w:bookmarkStart w:id="94" w:name="_Toc15396628"/>
      <w:bookmarkStart w:id="95" w:name="_Toc14713"/>
      <w:r>
        <w:rPr>
          <w:rStyle w:val="26"/>
          <w:rFonts w:hint="eastAsia" w:ascii="仿宋" w:hAnsi="仿宋" w:eastAsia="仿宋"/>
          <w:b w:val="0"/>
          <w:bCs w:val="0"/>
        </w:rPr>
        <w:t>十、</w:t>
      </w:r>
      <w:bookmarkEnd w:id="94"/>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95"/>
    </w:p>
    <w:p>
      <w:pPr>
        <w:pStyle w:val="3"/>
        <w:rPr>
          <w:rFonts w:ascii="仿宋" w:hAnsi="仿宋" w:eastAsia="仿宋"/>
        </w:rPr>
      </w:pPr>
      <w:bookmarkStart w:id="96" w:name="_Toc15396629"/>
      <w:bookmarkStart w:id="97" w:name="_Toc16785"/>
      <w:r>
        <w:rPr>
          <w:rStyle w:val="26"/>
          <w:rFonts w:hint="eastAsia" w:ascii="仿宋" w:hAnsi="仿宋" w:eastAsia="仿宋"/>
          <w:b w:val="0"/>
          <w:bCs w:val="0"/>
        </w:rPr>
        <w:t>十一、</w:t>
      </w:r>
      <w:bookmarkEnd w:id="96"/>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97"/>
    </w:p>
    <w:p>
      <w:pPr>
        <w:pStyle w:val="3"/>
        <w:rPr>
          <w:rFonts w:ascii="仿宋" w:hAnsi="仿宋" w:eastAsia="仿宋"/>
        </w:rPr>
      </w:pPr>
      <w:bookmarkStart w:id="98" w:name="_Toc15396630"/>
      <w:bookmarkStart w:id="99" w:name="_Toc10717"/>
      <w:r>
        <w:rPr>
          <w:rStyle w:val="26"/>
          <w:rFonts w:hint="eastAsia" w:ascii="仿宋" w:hAnsi="仿宋" w:eastAsia="仿宋"/>
          <w:b w:val="0"/>
          <w:bCs w:val="0"/>
        </w:rPr>
        <w:t>十二、</w:t>
      </w:r>
      <w:bookmarkEnd w:id="98"/>
      <w:r>
        <w:rPr>
          <w:rStyle w:val="26"/>
          <w:rFonts w:hint="eastAsia" w:ascii="仿宋" w:hAnsi="仿宋" w:eastAsia="仿宋"/>
          <w:b w:val="0"/>
          <w:bCs w:val="0"/>
        </w:rPr>
        <w:t>国有资本经营预算财政拨款支出决算表</w:t>
      </w:r>
      <w:bookmarkEnd w:id="99"/>
    </w:p>
    <w:p>
      <w:pPr>
        <w:pStyle w:val="3"/>
        <w:rPr>
          <w:rFonts w:eastAsia="仿宋"/>
        </w:rPr>
      </w:pPr>
      <w:bookmarkStart w:id="100" w:name="_Toc15396631"/>
      <w:bookmarkStart w:id="101" w:name="_Toc29550"/>
      <w:r>
        <w:rPr>
          <w:rStyle w:val="26"/>
          <w:rFonts w:hint="eastAsia" w:ascii="仿宋" w:hAnsi="仿宋" w:eastAsia="仿宋"/>
          <w:b w:val="0"/>
          <w:bCs w:val="0"/>
        </w:rPr>
        <w:t>十三、</w:t>
      </w:r>
      <w:bookmarkEnd w:id="100"/>
      <w:r>
        <w:rPr>
          <w:rStyle w:val="26"/>
          <w:rFonts w:hint="eastAsia" w:ascii="仿宋" w:hAnsi="仿宋" w:eastAsia="仿宋"/>
          <w:b w:val="0"/>
          <w:bCs w:val="0"/>
        </w:rPr>
        <w:t>财政拨款“三公”经费支出决算表</w:t>
      </w:r>
      <w:bookmarkEnd w:id="10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841ABB-E093-4E33-9F70-4A7837EEEF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C68DB88-5A06-46E7-A01F-1D4A23438AB5}"/>
  </w:font>
  <w:font w:name="Cambria">
    <w:panose1 w:val="02040503050406030204"/>
    <w:charset w:val="00"/>
    <w:family w:val="roman"/>
    <w:pitch w:val="default"/>
    <w:sig w:usb0="E00006FF" w:usb1="420024FF" w:usb2="02000000" w:usb3="00000000" w:csb0="2000019F" w:csb1="00000000"/>
    <w:embedRegular r:id="rId3" w:fontKey="{052C8106-7FBF-4AD8-AF29-4D8D75B73D4D}"/>
  </w:font>
  <w:font w:name="仿宋_GB2312">
    <w:panose1 w:val="02010609030101010101"/>
    <w:charset w:val="86"/>
    <w:family w:val="modern"/>
    <w:pitch w:val="default"/>
    <w:sig w:usb0="00000001" w:usb1="080E0000" w:usb2="00000000" w:usb3="00000000" w:csb0="00040000" w:csb1="00000000"/>
    <w:embedRegular r:id="rId4" w:fontKey="{63E37316-0707-48A8-A0D1-2C44E83916CC}"/>
  </w:font>
  <w:font w:name="仿宋">
    <w:panose1 w:val="02010609060101010101"/>
    <w:charset w:val="86"/>
    <w:family w:val="modern"/>
    <w:pitch w:val="default"/>
    <w:sig w:usb0="800002BF" w:usb1="38CF7CFA" w:usb2="00000016" w:usb3="00000000" w:csb0="00040001" w:csb1="00000000"/>
    <w:embedRegular r:id="rId5" w:fontKey="{D6F1BF38-0C97-433E-AE21-7085F004CBD7}"/>
  </w:font>
  <w:font w:name="方正小标宋简体">
    <w:panose1 w:val="03000509000000000000"/>
    <w:charset w:val="86"/>
    <w:family w:val="auto"/>
    <w:pitch w:val="default"/>
    <w:sig w:usb0="00000001" w:usb1="080E0000" w:usb2="00000000" w:usb3="00000000" w:csb0="00040000" w:csb1="00000000"/>
    <w:embedRegular r:id="rId6" w:fontKey="{E5F8F548-793D-4200-91B6-B7D8CC1560EE}"/>
  </w:font>
  <w:font w:name="方正仿宋_GB2312">
    <w:altName w:val="仿宋"/>
    <w:panose1 w:val="00000000000000000000"/>
    <w:charset w:val="86"/>
    <w:family w:val="auto"/>
    <w:pitch w:val="default"/>
    <w:sig w:usb0="00000000" w:usb1="00000000" w:usb2="00000012" w:usb3="00000000" w:csb0="00040001" w:csb1="00000000"/>
    <w:embedRegular r:id="rId7" w:fontKey="{E3715A8B-3023-4876-B007-58C6DE04EA2F}"/>
  </w:font>
  <w:font w:name="楷体">
    <w:panose1 w:val="02010609060101010101"/>
    <w:charset w:val="86"/>
    <w:family w:val="modern"/>
    <w:pitch w:val="default"/>
    <w:sig w:usb0="800002BF" w:usb1="38CF7CFA" w:usb2="00000016" w:usb3="00000000" w:csb0="00040001" w:csb1="00000000"/>
    <w:embedRegular r:id="rId8" w:fontKey="{F939E011-3861-4E51-A7F8-ACC5E95E0847}"/>
  </w:font>
  <w:font w:name="楷体_GB2312">
    <w:panose1 w:val="02010609030101010101"/>
    <w:charset w:val="86"/>
    <w:family w:val="modern"/>
    <w:pitch w:val="default"/>
    <w:sig w:usb0="00000001" w:usb1="080E0000" w:usb2="00000000" w:usb3="00000000" w:csb0="00040000" w:csb1="00000000"/>
    <w:embedRegular r:id="rId9" w:fontKey="{59B40B62-84A9-4A36-8F15-01CB90714F42}"/>
  </w:font>
  <w:font w:name="微软雅黑">
    <w:panose1 w:val="020B0503020204020204"/>
    <w:charset w:val="86"/>
    <w:family w:val="swiss"/>
    <w:pitch w:val="default"/>
    <w:sig w:usb0="80000287" w:usb1="2ACF3C50" w:usb2="00000016" w:usb3="00000000" w:csb0="0004001F" w:csb1="00000000"/>
    <w:embedRegular r:id="rId10" w:fontKey="{F9FF9DE1-DC97-4FDB-A39A-48AD4E89C0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16</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NzliYTYxMGQxMmE1MzQzY2RiOGM1MTM5NTNkOD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26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196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5492C62"/>
    <w:rsid w:val="0A2032A3"/>
    <w:rsid w:val="0B8A37D8"/>
    <w:rsid w:val="10C055FF"/>
    <w:rsid w:val="118107EC"/>
    <w:rsid w:val="11DD6519"/>
    <w:rsid w:val="13C80C98"/>
    <w:rsid w:val="16BB723D"/>
    <w:rsid w:val="18015F3F"/>
    <w:rsid w:val="19795399"/>
    <w:rsid w:val="1BE8440E"/>
    <w:rsid w:val="1D0C086E"/>
    <w:rsid w:val="1D155CEE"/>
    <w:rsid w:val="20645F10"/>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45C0472"/>
    <w:rsid w:val="55333C3E"/>
    <w:rsid w:val="595E4853"/>
    <w:rsid w:val="64CA39A1"/>
    <w:rsid w:val="69630ADE"/>
    <w:rsid w:val="6C4A05C8"/>
    <w:rsid w:val="6D3B1A89"/>
    <w:rsid w:val="6E8D7A3A"/>
    <w:rsid w:val="71BF4EC2"/>
    <w:rsid w:val="72734D90"/>
    <w:rsid w:val="738C0919"/>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880" w:firstLineChars="200"/>
    </w:p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zh-CN" altLang="en-US"/>
              <a:t>收、支决算总计变动情况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2021年</c:v>
                </c:pt>
                <c:pt idx="1">
                  <c:v>2022年</c:v>
                </c:pt>
              </c:strCache>
            </c:strRef>
          </c:cat>
          <c:val>
            <c:numRef>
              <c:f>[工作簿1]Sheet1!$B$2:$B$3</c:f>
              <c:numCache>
                <c:formatCode>#,##0.00</c:formatCode>
                <c:ptCount val="2"/>
                <c:pt idx="0">
                  <c:v>6889.99</c:v>
                </c:pt>
                <c:pt idx="1">
                  <c:v>4143.08</c:v>
                </c:pt>
              </c:numCache>
            </c:numRef>
          </c:val>
        </c:ser>
        <c:dLbls>
          <c:showLegendKey val="0"/>
          <c:showVal val="1"/>
          <c:showCatName val="0"/>
          <c:showSerName val="0"/>
          <c:showPercent val="0"/>
          <c:showBubbleSize val="0"/>
        </c:dLbls>
        <c:gapWidth val="246"/>
        <c:overlap val="-28"/>
        <c:axId val="100542336"/>
        <c:axId val="113971584"/>
      </c:barChart>
      <c:catAx>
        <c:axId val="1005423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971584"/>
        <c:crosses val="autoZero"/>
        <c:auto val="1"/>
        <c:lblAlgn val="ctr"/>
        <c:lblOffset val="100"/>
        <c:noMultiLvlLbl val="0"/>
      </c:catAx>
      <c:valAx>
        <c:axId val="113971584"/>
        <c:scaling>
          <c:orientation val="minMax"/>
          <c:min val="0"/>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54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收入决算结构</a:t>
            </a:r>
            <a:endParaRPr lang="zh-CN" altLang="en-US"/>
          </a:p>
        </c:rich>
      </c:tx>
      <c:layout/>
      <c:overlay val="0"/>
      <c:spPr>
        <a:noFill/>
        <a:ln>
          <a:noFill/>
        </a:ln>
        <a:effectLst/>
      </c:spPr>
    </c:title>
    <c:autoTitleDeleted val="0"/>
    <c:view3D>
      <c:rotX val="60"/>
      <c:rotY val="198"/>
      <c:depthPercent val="100"/>
      <c:rAngAx val="0"/>
      <c:perspective val="30"/>
    </c:view3D>
    <c:floor>
      <c:thickness val="0"/>
    </c:floor>
    <c:sideWall>
      <c:thickness val="0"/>
    </c:sideWall>
    <c:backWall>
      <c:thickness val="0"/>
    </c:backWall>
    <c:plotArea>
      <c:layout/>
      <c:pie3DChart>
        <c:varyColors val="1"/>
        <c:ser>
          <c:idx val="0"/>
          <c:order val="0"/>
          <c:spPr>
            <a:ln w="15875">
              <a:solidFill>
                <a:schemeClr val="bg1"/>
              </a:solidFill>
            </a:ln>
            <a:effectLst>
              <a:outerShdw blurRad="63500" sx="102000" sy="102000" algn="ctr" rotWithShape="0">
                <a:schemeClr val="bg1">
                  <a:lumMod val="50000"/>
                  <a:alpha val="40000"/>
                </a:schemeClr>
              </a:outerShdw>
            </a:effectLst>
            <a:scene3d>
              <a:camera prst="orthographicFront"/>
              <a:lightRig rig="threePt" dir="t"/>
            </a:scene3d>
            <a:sp3d contourW="15875"/>
          </c:spPr>
          <c:explosion val="3"/>
          <c:dPt>
            <c:idx val="0"/>
            <c:bubble3D val="0"/>
            <c:spPr>
              <a:solidFill>
                <a:schemeClr val="accent1"/>
              </a:solidFill>
              <a:ln w="15875">
                <a:solidFill>
                  <a:schemeClr val="accent1">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Lbls>
            <c:dLbl>
              <c:idx val="0"/>
              <c:layout>
                <c:manualLayout>
                  <c:x val="0.0690789473684211"/>
                  <c:y val="0.02777777777777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[工作簿1]Sheet1!$A$6</c:f>
              <c:strCache>
                <c:ptCount val="1"/>
                <c:pt idx="0">
                  <c:v>一般公共预算财政拨款</c:v>
                </c:pt>
              </c:strCache>
            </c:strRef>
          </c:cat>
          <c:val>
            <c:numRef>
              <c:f>[工作簿1]Sheet1!$B$6</c:f>
              <c:numCache>
                <c:formatCode>#,##0.00</c:formatCode>
                <c:ptCount val="1"/>
                <c:pt idx="0">
                  <c:v>4003.73</c:v>
                </c:pt>
              </c:numCache>
            </c:numRef>
          </c:val>
        </c:ser>
        <c:dLbls>
          <c:showLegendKey val="0"/>
          <c:showVal val="0"/>
          <c:showCatName val="0"/>
          <c:showSerName val="0"/>
          <c:showPercent val="1"/>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sq" cmpd="sng" algn="ctr">
      <a:solidFill>
        <a:schemeClr val="bg1">
          <a:lumMod val="85000"/>
        </a:schemeClr>
      </a:solidFill>
      <a:prstDash val="solid"/>
      <a:round/>
    </a:ln>
    <a:effectLst>
      <a:outerShdw blurRad="63500" dist="37357" dir="2700000" sx="0" sy="0" rotWithShape="0">
        <a:scrgbClr r="0" g="0" b="0"/>
      </a:outerShdw>
    </a:effectLst>
    <a:scene3d>
      <a:camera prst="orthographicFront"/>
      <a:lightRig rig="threePt" dir="t"/>
    </a:scene3d>
    <a:sp3d prstMaterial="flat"/>
  </c:spPr>
  <c:txPr>
    <a:bodyPr anchor="t"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支出决算结构</a:t>
            </a:r>
            <a:endParaRPr lang="zh-CN" altLang="en-US"/>
          </a:p>
        </c:rich>
      </c:tx>
      <c:layout/>
      <c:overlay val="0"/>
      <c:spPr>
        <a:noFill/>
        <a:ln>
          <a:noFill/>
        </a:ln>
        <a:effectLst/>
      </c:spPr>
    </c:title>
    <c:autoTitleDeleted val="0"/>
    <c:view3D>
      <c:rotX val="60"/>
      <c:rotY val="198"/>
      <c:depthPercent val="100"/>
      <c:rAngAx val="0"/>
      <c:perspective val="30"/>
    </c:view3D>
    <c:floor>
      <c:thickness val="0"/>
    </c:floor>
    <c:sideWall>
      <c:thickness val="0"/>
    </c:sideWall>
    <c:backWall>
      <c:thickness val="0"/>
    </c:backWall>
    <c:plotArea>
      <c:layout/>
      <c:pie3DChart>
        <c:varyColors val="1"/>
        <c:ser>
          <c:idx val="0"/>
          <c:order val="0"/>
          <c:spPr>
            <a:ln w="15875">
              <a:solidFill>
                <a:schemeClr val="bg1"/>
              </a:solidFill>
            </a:ln>
            <a:effectLst>
              <a:outerShdw blurRad="63500" sx="102000" sy="102000" algn="ctr" rotWithShape="0">
                <a:schemeClr val="bg1">
                  <a:lumMod val="50000"/>
                  <a:alpha val="40000"/>
                </a:schemeClr>
              </a:outerShdw>
            </a:effectLst>
            <a:scene3d>
              <a:camera prst="orthographicFront"/>
              <a:lightRig rig="threePt" dir="t"/>
            </a:scene3d>
            <a:sp3d contourW="15875"/>
          </c:spPr>
          <c:explosion val="3"/>
          <c:dPt>
            <c:idx val="0"/>
            <c:bubble3D val="0"/>
            <c:spPr>
              <a:solidFill>
                <a:schemeClr val="accent1"/>
              </a:solidFill>
              <a:ln w="15875">
                <a:solidFill>
                  <a:schemeClr val="accent1">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Pt>
            <c:idx val="1"/>
            <c:bubble3D val="0"/>
            <c:spPr>
              <a:solidFill>
                <a:srgbClr val="4874CB"/>
              </a:solidFill>
              <a:ln w="15875">
                <a:solidFill>
                  <a:schemeClr val="accent2">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Lbls>
            <c:dLbl>
              <c:idx val="0"/>
              <c:layout>
                <c:manualLayout>
                  <c:x val="0.0690789473684211"/>
                  <c:y val="0.02777777777777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3947368421053"/>
                  <c:y val="0.06944444444444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[工作簿1]Sheet1!$A$6:$A$7</c:f>
              <c:strCache>
                <c:ptCount val="2"/>
                <c:pt idx="0">
                  <c:v>基本支出</c:v>
                </c:pt>
                <c:pt idx="1">
                  <c:v>项目支出</c:v>
                </c:pt>
              </c:strCache>
            </c:strRef>
          </c:cat>
          <c:val>
            <c:numRef>
              <c:f>[工作簿1]Sheet1!$B$6:$B$7</c:f>
              <c:numCache>
                <c:formatCode>General</c:formatCode>
                <c:ptCount val="2"/>
                <c:pt idx="0">
                  <c:v>494.53</c:v>
                </c:pt>
                <c:pt idx="1" c:formatCode="#,##0.00">
                  <c:v>3648.55</c:v>
                </c:pt>
              </c:numCache>
            </c:numRef>
          </c:val>
        </c:ser>
        <c:dLbls>
          <c:showLegendKey val="0"/>
          <c:showVal val="0"/>
          <c:showCatName val="0"/>
          <c:showSerName val="0"/>
          <c:showPercent val="1"/>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sq" cmpd="sng" algn="ctr">
      <a:solidFill>
        <a:schemeClr val="bg1">
          <a:lumMod val="85000"/>
        </a:schemeClr>
      </a:solidFill>
      <a:prstDash val="solid"/>
      <a:round/>
    </a:ln>
    <a:effectLst>
      <a:outerShdw blurRad="63500" dist="37357" dir="2700000" sx="0" sy="0" rotWithShape="0">
        <a:scrgbClr r="0" g="0" b="0"/>
      </a:outerShdw>
    </a:effectLst>
    <a:scene3d>
      <a:camera prst="orthographicFront"/>
      <a:lightRig rig="threePt" dir="t"/>
    </a:scene3d>
    <a:sp3d prstMaterial="flat"/>
  </c:spPr>
  <c:txPr>
    <a:bodyPr anchor="t"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zh-CN" altLang="en-US"/>
              <a:t>财政拨款收、支决算总计变动情况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2021年</c:v>
                </c:pt>
                <c:pt idx="1">
                  <c:v>2022年</c:v>
                </c:pt>
              </c:strCache>
            </c:strRef>
          </c:cat>
          <c:val>
            <c:numRef>
              <c:f>[工作簿1]Sheet1!$B$2:$B$3</c:f>
              <c:numCache>
                <c:formatCode>#,##0.00</c:formatCode>
                <c:ptCount val="2"/>
                <c:pt idx="0">
                  <c:v>6889.99</c:v>
                </c:pt>
                <c:pt idx="1">
                  <c:v>4143.08</c:v>
                </c:pt>
              </c:numCache>
            </c:numRef>
          </c:val>
        </c:ser>
        <c:dLbls>
          <c:showLegendKey val="0"/>
          <c:showVal val="1"/>
          <c:showCatName val="0"/>
          <c:showSerName val="0"/>
          <c:showPercent val="0"/>
          <c:showBubbleSize val="0"/>
        </c:dLbls>
        <c:gapWidth val="246"/>
        <c:overlap val="-28"/>
        <c:axId val="100391168"/>
        <c:axId val="100394112"/>
      </c:barChart>
      <c:catAx>
        <c:axId val="100391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394112"/>
        <c:crosses val="autoZero"/>
        <c:auto val="1"/>
        <c:lblAlgn val="ctr"/>
        <c:lblOffset val="100"/>
        <c:noMultiLvlLbl val="0"/>
      </c:catAx>
      <c:valAx>
        <c:axId val="100394112"/>
        <c:scaling>
          <c:orientation val="minMax"/>
          <c:min val="0"/>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39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zh-CN" altLang="en-US"/>
              <a:t>一般公共预算财政拨款支出决算变动情况</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2021年</c:v>
                </c:pt>
                <c:pt idx="1">
                  <c:v>2022年</c:v>
                </c:pt>
              </c:strCache>
            </c:strRef>
          </c:cat>
          <c:val>
            <c:numRef>
              <c:f>[工作簿1]Sheet1!$B$2:$B$3</c:f>
              <c:numCache>
                <c:formatCode>#,##0.00</c:formatCode>
                <c:ptCount val="2"/>
                <c:pt idx="0">
                  <c:v>6889.99</c:v>
                </c:pt>
                <c:pt idx="1">
                  <c:v>4143.08</c:v>
                </c:pt>
              </c:numCache>
            </c:numRef>
          </c:val>
        </c:ser>
        <c:dLbls>
          <c:showLegendKey val="0"/>
          <c:showVal val="1"/>
          <c:showCatName val="0"/>
          <c:showSerName val="0"/>
          <c:showPercent val="0"/>
          <c:showBubbleSize val="0"/>
        </c:dLbls>
        <c:gapWidth val="246"/>
        <c:overlap val="-28"/>
        <c:axId val="100408704"/>
        <c:axId val="100423936"/>
      </c:barChart>
      <c:catAx>
        <c:axId val="1004087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423936"/>
        <c:crosses val="autoZero"/>
        <c:auto val="1"/>
        <c:lblAlgn val="ctr"/>
        <c:lblOffset val="100"/>
        <c:noMultiLvlLbl val="0"/>
      </c:catAx>
      <c:valAx>
        <c:axId val="100423936"/>
        <c:scaling>
          <c:orientation val="minMax"/>
          <c:min val="0"/>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40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一般公共预算财政拨款支出决算结构</a:t>
            </a:r>
            <a:endParaRPr lang="zh-CN" altLang="en-US"/>
          </a:p>
        </c:rich>
      </c:tx>
      <c:layout/>
      <c:overlay val="0"/>
      <c:spPr>
        <a:noFill/>
        <a:ln>
          <a:noFill/>
        </a:ln>
        <a:effectLst/>
      </c:spPr>
    </c:title>
    <c:autoTitleDeleted val="0"/>
    <c:view3D>
      <c:rotX val="60"/>
      <c:rotY val="198"/>
      <c:depthPercent val="100"/>
      <c:rAngAx val="0"/>
      <c:perspective val="30"/>
    </c:view3D>
    <c:floor>
      <c:thickness val="0"/>
    </c:floor>
    <c:sideWall>
      <c:thickness val="0"/>
    </c:sideWall>
    <c:backWall>
      <c:thickness val="0"/>
    </c:backWall>
    <c:plotArea>
      <c:layout/>
      <c:pie3DChart>
        <c:varyColors val="1"/>
        <c:ser>
          <c:idx val="0"/>
          <c:order val="0"/>
          <c:spPr>
            <a:ln w="15875">
              <a:solidFill>
                <a:schemeClr val="bg1"/>
              </a:solidFill>
            </a:ln>
            <a:effectLst>
              <a:outerShdw blurRad="63500" sx="102000" sy="102000" algn="ctr" rotWithShape="0">
                <a:schemeClr val="bg1">
                  <a:lumMod val="50000"/>
                  <a:alpha val="40000"/>
                </a:schemeClr>
              </a:outerShdw>
            </a:effectLst>
            <a:scene3d>
              <a:camera prst="orthographicFront"/>
              <a:lightRig rig="threePt" dir="t"/>
            </a:scene3d>
            <a:sp3d contourW="15875"/>
          </c:spPr>
          <c:explosion val="3"/>
          <c:dPt>
            <c:idx val="0"/>
            <c:bubble3D val="0"/>
            <c:spPr>
              <a:solidFill>
                <a:schemeClr val="accent1"/>
              </a:solidFill>
              <a:ln w="15875">
                <a:solidFill>
                  <a:schemeClr val="accent1">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Pt>
            <c:idx val="1"/>
            <c:bubble3D val="0"/>
            <c:spPr>
              <a:solidFill>
                <a:srgbClr val="4874CB"/>
              </a:solidFill>
              <a:ln w="15875">
                <a:solidFill>
                  <a:schemeClr val="accent2">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Pt>
            <c:idx val="2"/>
            <c:bubble3D val="0"/>
            <c:spPr>
              <a:solidFill>
                <a:schemeClr val="accent3"/>
              </a:solidFill>
              <a:ln w="19050">
                <a:solidFill>
                  <a:schemeClr val="accent3">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Pt>
            <c:idx val="3"/>
            <c:bubble3D val="0"/>
            <c:spPr>
              <a:solidFill>
                <a:srgbClr val="4874CB"/>
              </a:solidFill>
              <a:ln w="19050">
                <a:solidFill>
                  <a:schemeClr val="accent4">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9050"/>
            </c:spPr>
          </c:dPt>
          <c:dPt>
            <c:idx val="4"/>
            <c:bubble3D val="0"/>
            <c:spPr>
              <a:solidFill>
                <a:schemeClr val="accent5"/>
              </a:solidFill>
              <a:ln w="19050">
                <a:solidFill>
                  <a:schemeClr val="accent5"/>
                </a:solidFill>
              </a:ln>
              <a:effectLst>
                <a:outerShdw blurRad="63500" sx="102000" sy="102000" algn="ctr" rotWithShape="0">
                  <a:schemeClr val="bg1">
                    <a:lumMod val="50000"/>
                    <a:alpha val="40000"/>
                  </a:schemeClr>
                </a:outerShdw>
              </a:effectLst>
              <a:scene3d>
                <a:camera prst="orthographicFront"/>
                <a:lightRig rig="threePt" dir="t"/>
              </a:scene3d>
              <a:sp3d contourW="19050"/>
            </c:spPr>
          </c:dPt>
          <c:dPt>
            <c:idx val="5"/>
            <c:bubble3D val="0"/>
            <c:spPr>
              <a:ln w="19050">
                <a:solidFill>
                  <a:schemeClr val="accent6"/>
                </a:solidFill>
              </a:ln>
              <a:effectLst>
                <a:outerShdw blurRad="63500" sx="102000" sy="102000" algn="ctr" rotWithShape="0">
                  <a:schemeClr val="bg1">
                    <a:lumMod val="50000"/>
                    <a:alpha val="40000"/>
                  </a:schemeClr>
                </a:outerShdw>
              </a:effectLst>
              <a:scene3d>
                <a:camera prst="orthographicFront"/>
                <a:lightRig rig="threePt" dir="t"/>
              </a:scene3d>
              <a:sp3d contourW="19050"/>
            </c:spPr>
          </c:dPt>
          <c:dLbls>
            <c:dLbl>
              <c:idx val="0"/>
              <c:layout>
                <c:manualLayout>
                  <c:x val="0.0789473684210526"/>
                  <c:y val="-0.01736111111111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3947368421053"/>
                  <c:y val="0.06944444444444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31578947368421"/>
                  <c:y val="-0.1076388888888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[工作簿1]Sheet1!$A$6:$A$11</c:f>
              <c:strCache>
                <c:ptCount val="6"/>
                <c:pt idx="0">
                  <c:v>科学技术支出</c:v>
                </c:pt>
                <c:pt idx="1">
                  <c:v>社会保障和就业支出</c:v>
                </c:pt>
                <c:pt idx="2">
                  <c:v>卫生健康支出</c:v>
                </c:pt>
                <c:pt idx="3">
                  <c:v>城乡社区支出</c:v>
                </c:pt>
                <c:pt idx="4">
                  <c:v>交通运输支出</c:v>
                </c:pt>
                <c:pt idx="5">
                  <c:v>住房保障支出</c:v>
                </c:pt>
              </c:strCache>
            </c:strRef>
          </c:cat>
          <c:val>
            <c:numRef>
              <c:f>[工作簿1]Sheet1!$B$6:$B$11</c:f>
              <c:numCache>
                <c:formatCode>#,##0.00</c:formatCode>
                <c:ptCount val="6"/>
                <c:pt idx="0">
                  <c:v>3430.14</c:v>
                </c:pt>
                <c:pt idx="1" c:formatCode="General">
                  <c:v>29.17</c:v>
                </c:pt>
                <c:pt idx="2" c:formatCode="General">
                  <c:v>21.18</c:v>
                </c:pt>
                <c:pt idx="3" c:formatCode="General">
                  <c:v>2.93</c:v>
                </c:pt>
                <c:pt idx="4" c:formatCode="General">
                  <c:v>627.39</c:v>
                </c:pt>
                <c:pt idx="5" c:formatCode="General">
                  <c:v>32.28</c:v>
                </c:pt>
              </c:numCache>
            </c:numRef>
          </c:val>
        </c:ser>
        <c:dLbls>
          <c:showLegendKey val="0"/>
          <c:showVal val="0"/>
          <c:showCatName val="0"/>
          <c:showSerName val="0"/>
          <c:showPercent val="1"/>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sq" cmpd="sng" algn="ctr">
      <a:solidFill>
        <a:schemeClr val="bg1">
          <a:lumMod val="85000"/>
        </a:schemeClr>
      </a:solidFill>
      <a:prstDash val="solid"/>
      <a:round/>
    </a:ln>
    <a:effectLst>
      <a:outerShdw blurRad="63500" dist="37357" dir="2700000" sx="0" sy="0" rotWithShape="0">
        <a:scrgbClr r="0" g="0" b="0"/>
      </a:outerShdw>
    </a:effectLst>
    <a:scene3d>
      <a:camera prst="orthographicFront"/>
      <a:lightRig rig="threePt" dir="t"/>
    </a:scene3d>
    <a:sp3d prstMaterial="flat"/>
  </c:spPr>
  <c:txPr>
    <a:bodyPr anchor="t" anchorCtr="1"/>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一般公共预算财政拨款支出决算结构</a:t>
            </a:r>
            <a:endParaRPr lang="zh-CN" altLang="en-US"/>
          </a:p>
        </c:rich>
      </c:tx>
      <c:layout/>
      <c:overlay val="0"/>
      <c:spPr>
        <a:noFill/>
        <a:ln>
          <a:noFill/>
        </a:ln>
        <a:effectLst/>
      </c:spPr>
    </c:title>
    <c:autoTitleDeleted val="0"/>
    <c:view3D>
      <c:rotX val="60"/>
      <c:rotY val="198"/>
      <c:depthPercent val="100"/>
      <c:rAngAx val="0"/>
      <c:perspective val="30"/>
    </c:view3D>
    <c:floor>
      <c:thickness val="0"/>
    </c:floor>
    <c:sideWall>
      <c:thickness val="0"/>
    </c:sideWall>
    <c:backWall>
      <c:thickness val="0"/>
    </c:backWall>
    <c:plotArea>
      <c:layout/>
      <c:pie3DChart>
        <c:varyColors val="1"/>
        <c:ser>
          <c:idx val="0"/>
          <c:order val="0"/>
          <c:spPr>
            <a:ln w="15875">
              <a:solidFill>
                <a:schemeClr val="bg1"/>
              </a:solidFill>
            </a:ln>
            <a:effectLst>
              <a:outerShdw blurRad="63500" sx="102000" sy="102000" algn="ctr" rotWithShape="0">
                <a:schemeClr val="bg1">
                  <a:lumMod val="50000"/>
                  <a:alpha val="40000"/>
                </a:schemeClr>
              </a:outerShdw>
            </a:effectLst>
            <a:scene3d>
              <a:camera prst="orthographicFront"/>
              <a:lightRig rig="threePt" dir="t"/>
            </a:scene3d>
            <a:sp3d contourW="15875"/>
          </c:spPr>
          <c:explosion val="3"/>
          <c:dPt>
            <c:idx val="0"/>
            <c:bubble3D val="0"/>
            <c:spPr>
              <a:solidFill>
                <a:schemeClr val="accent1"/>
              </a:solidFill>
              <a:ln w="15875">
                <a:solidFill>
                  <a:schemeClr val="accent1">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Pt>
            <c:idx val="1"/>
            <c:bubble3D val="0"/>
            <c:spPr>
              <a:solidFill>
                <a:srgbClr val="4874CB"/>
              </a:solidFill>
              <a:ln w="15875">
                <a:solidFill>
                  <a:schemeClr val="accent2">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15875"/>
            </c:spPr>
          </c:dPt>
          <c:dLbls>
            <c:dLbl>
              <c:idx val="0"/>
              <c:layout>
                <c:manualLayout>
                  <c:x val="0.0789473684210526"/>
                  <c:y val="-0.01736111111111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0131578947368"/>
                  <c:y val="-0.06944444444444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[工作簿1]Sheet1!$A$6:$A$7</c:f>
              <c:strCache>
                <c:ptCount val="2"/>
                <c:pt idx="0">
                  <c:v>公务用车购置及运行维护费支出</c:v>
                </c:pt>
                <c:pt idx="1">
                  <c:v>公务接待费支出</c:v>
                </c:pt>
              </c:strCache>
            </c:strRef>
          </c:cat>
          <c:val>
            <c:numRef>
              <c:f>[工作簿1]Sheet1!$B$6:$B$7</c:f>
              <c:numCache>
                <c:formatCode>General</c:formatCode>
                <c:ptCount val="2"/>
                <c:pt idx="0">
                  <c:v>7.8</c:v>
                </c:pt>
                <c:pt idx="1">
                  <c:v>0.58</c:v>
                </c:pt>
              </c:numCache>
            </c:numRef>
          </c:val>
        </c:ser>
        <c:dLbls>
          <c:showLegendKey val="0"/>
          <c:showVal val="0"/>
          <c:showCatName val="0"/>
          <c:showSerName val="0"/>
          <c:showPercent val="1"/>
          <c:showBubbleSize val="0"/>
        </c:dLbls>
      </c:pie3DChart>
      <c:spPr>
        <a:noFill/>
        <a:ln>
          <a:noFill/>
        </a:ln>
        <a:effectLst/>
      </c:spPr>
    </c:plotArea>
    <c:legend>
      <c:legendPos val="b"/>
      <c:layout>
        <c:manualLayout>
          <c:xMode val="edge"/>
          <c:yMode val="edge"/>
          <c:x val="0.142016047964386"/>
          <c:y val="0.881318681318681"/>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sq" cmpd="sng" algn="ctr">
      <a:solidFill>
        <a:schemeClr val="bg1">
          <a:lumMod val="85000"/>
        </a:schemeClr>
      </a:solidFill>
      <a:prstDash val="solid"/>
      <a:round/>
    </a:ln>
    <a:effectLst>
      <a:outerShdw blurRad="63500" dist="37357" dir="2700000" sx="0" sy="0" rotWithShape="0">
        <a:scrgbClr r="0" g="0" b="0"/>
      </a:outerShdw>
    </a:effectLst>
    <a:scene3d>
      <a:camera prst="orthographicFront"/>
      <a:lightRig rig="threePt" dir="t"/>
    </a:scene3d>
    <a:sp3d prstMaterial="flat"/>
  </c:spPr>
  <c:txPr>
    <a:bodyPr anchor="t"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7】">
    <a:dk1>
      <a:srgbClr val="000000"/>
    </a:dk1>
    <a:lt1>
      <a:srgbClr val="FFFFFF"/>
    </a:lt1>
    <a:dk2>
      <a:srgbClr val="0C0E1F"/>
    </a:dk2>
    <a:lt2>
      <a:srgbClr val="FEFFFF"/>
    </a:lt2>
    <a:accent1>
      <a:srgbClr val="7262FD"/>
    </a:accent1>
    <a:accent2>
      <a:srgbClr val="FF6637"/>
    </a:accent2>
    <a:accent3>
      <a:srgbClr val="FF860F"/>
    </a:accent3>
    <a:accent4>
      <a:srgbClr val="FFB607"/>
    </a:accent4>
    <a:accent5>
      <a:srgbClr val="45CBF1"/>
    </a:accent5>
    <a:accent6>
      <a:srgbClr val="41DDA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7】">
    <a:dk1>
      <a:srgbClr val="000000"/>
    </a:dk1>
    <a:lt1>
      <a:srgbClr val="FFFFFF"/>
    </a:lt1>
    <a:dk2>
      <a:srgbClr val="0C0E1F"/>
    </a:dk2>
    <a:lt2>
      <a:srgbClr val="FEFFFF"/>
    </a:lt2>
    <a:accent1>
      <a:srgbClr val="7262FD"/>
    </a:accent1>
    <a:accent2>
      <a:srgbClr val="FF6637"/>
    </a:accent2>
    <a:accent3>
      <a:srgbClr val="FF860F"/>
    </a:accent3>
    <a:accent4>
      <a:srgbClr val="FFB607"/>
    </a:accent4>
    <a:accent5>
      <a:srgbClr val="45CBF1"/>
    </a:accent5>
    <a:accent6>
      <a:srgbClr val="41DDA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7】">
    <a:dk1>
      <a:srgbClr val="000000"/>
    </a:dk1>
    <a:lt1>
      <a:srgbClr val="FFFFFF"/>
    </a:lt1>
    <a:dk2>
      <a:srgbClr val="0C0E1F"/>
    </a:dk2>
    <a:lt2>
      <a:srgbClr val="FEFFFF"/>
    </a:lt2>
    <a:accent1>
      <a:srgbClr val="7262FD"/>
    </a:accent1>
    <a:accent2>
      <a:srgbClr val="FF6637"/>
    </a:accent2>
    <a:accent3>
      <a:srgbClr val="FF860F"/>
    </a:accent3>
    <a:accent4>
      <a:srgbClr val="FFB607"/>
    </a:accent4>
    <a:accent5>
      <a:srgbClr val="45CBF1"/>
    </a:accent5>
    <a:accent6>
      <a:srgbClr val="41DDA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7】">
    <a:dk1>
      <a:srgbClr val="000000"/>
    </a:dk1>
    <a:lt1>
      <a:srgbClr val="FFFFFF"/>
    </a:lt1>
    <a:dk2>
      <a:srgbClr val="0C0E1F"/>
    </a:dk2>
    <a:lt2>
      <a:srgbClr val="FEFFFF"/>
    </a:lt2>
    <a:accent1>
      <a:srgbClr val="7262FD"/>
    </a:accent1>
    <a:accent2>
      <a:srgbClr val="FF6637"/>
    </a:accent2>
    <a:accent3>
      <a:srgbClr val="FF860F"/>
    </a:accent3>
    <a:accent4>
      <a:srgbClr val="FFB607"/>
    </a:accent4>
    <a:accent5>
      <a:srgbClr val="45CBF1"/>
    </a:accent5>
    <a:accent6>
      <a:srgbClr val="41DDA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四川省财政厅</Company>
  <Pages>19</Pages>
  <Words>6597</Words>
  <Characters>2672</Characters>
  <Lines>22</Lines>
  <Paragraphs>18</Paragraphs>
  <TotalTime>107</TotalTime>
  <ScaleCrop>false</ScaleCrop>
  <LinksUpToDate>false</LinksUpToDate>
  <CharactersWithSpaces>9251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Candice</cp:lastModifiedBy>
  <cp:lastPrinted>2023-07-31T02:35:00Z</cp:lastPrinted>
  <dcterms:modified xsi:type="dcterms:W3CDTF">2023-11-29T07:35:34Z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90B5368A7CDA48C892FC4C0AFFF4CE26_12</vt:lpwstr>
  </property>
</Properties>
</file>