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巴中市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eastAsia="zh-CN"/>
        </w:rPr>
        <w:t>交通运输局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行政处罚“首违不罚”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eastAsia="zh-CN"/>
        </w:rPr>
        <w:t>第二批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目录清单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</w:t>
      </w:r>
    </w:p>
    <w:tbl>
      <w:tblPr>
        <w:tblStyle w:val="10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658"/>
        <w:gridCol w:w="4575"/>
        <w:gridCol w:w="4852"/>
        <w:gridCol w:w="1350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267"/>
                <w:tab w:val="center" w:pos="7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违法行为</w:t>
            </w:r>
          </w:p>
        </w:tc>
        <w:tc>
          <w:tcPr>
            <w:tcW w:w="45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法律依据</w:t>
            </w:r>
          </w:p>
        </w:tc>
        <w:tc>
          <w:tcPr>
            <w:tcW w:w="4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“首违不罚”适用条件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处置措施</w:t>
            </w:r>
          </w:p>
        </w:tc>
        <w:tc>
          <w:tcPr>
            <w:tcW w:w="8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方正黑体_GBK" w:hAnsi="方正黑体_GBK" w:eastAsia="方正黑体_GBK" w:cs="方正黑体_GBK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１</w:t>
            </w:r>
          </w:p>
        </w:tc>
        <w:tc>
          <w:tcPr>
            <w:tcW w:w="1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对在公路建筑控制区内修建建筑物、地面构筑物的处罚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  <w:lang w:val="en-US" w:eastAsia="zh-CN"/>
              </w:rPr>
              <w:t>。</w:t>
            </w:r>
          </w:p>
        </w:tc>
        <w:tc>
          <w:tcPr>
            <w:tcW w:w="4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line="400" w:lineRule="exact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4"/>
                <w:szCs w:val="24"/>
                <w:shd w:val="clear" w:color="auto" w:fill="auto"/>
              </w:rPr>
              <w:t>1.《中华人民共和国公路法》第八十一条  违反本法第五十六条规定，在公路建筑控制区内修建建筑物、地面构筑物或者擅自埋设管线、电缆等设施的，由交通主管部门责令限期拆除，并可以处五万元以下的罚款。逾期不拆除的，由交通主管部门拆除，有关费用由建筑者、构筑者承担。2.《公路安全保护条例》第五十六条第（一）项  违反本条例的规定，有下列情形之一的，由公路管理机构责令限期拆除，可以处5万元以下的罚款。逾期不拆除的，由公路管理机构拆除，有关费用由违法行为人承担：（一）在公路建筑控制区内修建、扩建建筑物、地面构筑物或者未经许可埋设管道、电缆等设施的。</w:t>
            </w:r>
          </w:p>
        </w:tc>
        <w:tc>
          <w:tcPr>
            <w:tcW w:w="48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40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首次实施违法行为。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40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违法行为调查过程中，不存在拒不接受执法部门调查处理、阻碍执法、煽动抗拒执法等妨碍执行公务的行为。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40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修建建筑物、构筑物的施工行为处于初始阶段。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40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按执法部门要求立即停止修建行为，并立即或在规定的期限内清理拆除违法修建的建筑物和构筑物、恢复原状。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400" w:lineRule="exact"/>
              <w:ind w:leftChars="0" w:right="0" w:right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未发生倾覆、倒塌等事故。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/>
              <w:jc w:val="both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未影响公路安全、完好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和畅通。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400" w:lineRule="exact"/>
              <w:ind w:right="0" w:right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口头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批评教育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snapToGrid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、责令整改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 w:val="0"/>
              <w:snapToGrid w:val="0"/>
              <w:spacing w:before="0" w:beforeLines="0" w:after="0" w:afterLines="0" w:line="400" w:lineRule="exact"/>
              <w:ind w:right="0" w:rightChars="0"/>
              <w:jc w:val="both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snapToGrid/>
                <w:color w:val="auto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7CB030"/>
    <w:multiLevelType w:val="singleLevel"/>
    <w:tmpl w:val="ED7CB030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BC531"/>
    <w:rsid w:val="66F97C3B"/>
    <w:rsid w:val="77FBC531"/>
    <w:rsid w:val="7BBB329C"/>
    <w:rsid w:val="7DEA10D1"/>
    <w:rsid w:val="7FF4DA50"/>
    <w:rsid w:val="FEFBC09D"/>
    <w:rsid w:val="FF3FF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rFonts w:ascii="Times New Roman" w:eastAsia="仿宋_GB2312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next w:val="5"/>
    <w:qFormat/>
    <w:uiPriority w:val="0"/>
    <w:pPr>
      <w:spacing w:before="0" w:after="140" w:line="276" w:lineRule="auto"/>
    </w:pPr>
  </w:style>
  <w:style w:type="paragraph" w:styleId="5">
    <w:name w:val="toc 5"/>
    <w:basedOn w:val="1"/>
    <w:next w:val="1"/>
    <w:qFormat/>
    <w:uiPriority w:val="0"/>
    <w:pPr>
      <w:ind w:left="1680" w:leftChars="8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UserStyle_0"/>
    <w:basedOn w:val="1"/>
    <w:next w:val="1"/>
    <w:qFormat/>
    <w:uiPriority w:val="0"/>
    <w:pPr>
      <w:ind w:left="200" w:leftChars="200" w:hanging="200" w:hangingChars="200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2022-04-28T16:03:00Z</dcterms:created>
  <dc:creator>uos</dc:creator>
  <cp:lastModifiedBy>user</cp:lastModifiedBy>
  <cp:lastPrinted>2022-05-14T09:45:00Z</cp:lastPrinted>
  <dcterms:modified xsi:type="dcterms:W3CDTF">2022-08-10T10:30:43Z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